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BC" w:rsidRPr="00386B2D" w:rsidRDefault="006E72BC">
      <w:pPr>
        <w:rPr>
          <w:sz w:val="12"/>
        </w:rPr>
      </w:pPr>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964356" w:rsidP="00964356">
            <w:pPr>
              <w:rPr>
                <w:b/>
              </w:rPr>
            </w:pPr>
            <w:r>
              <w:rPr>
                <w:rStyle w:val="Firstpagetablebold"/>
              </w:rPr>
              <w:t>19 September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964356" w:rsidP="00964356">
            <w:pPr>
              <w:rPr>
                <w:rStyle w:val="Firstpagetablebold"/>
              </w:rPr>
            </w:pPr>
            <w:r>
              <w:rPr>
                <w:rStyle w:val="Firstpagetablebold"/>
              </w:rPr>
              <w:t>Head of Housing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964356" w:rsidP="00964356">
            <w:pPr>
              <w:rPr>
                <w:rStyle w:val="Firstpagetablebold"/>
              </w:rPr>
            </w:pPr>
            <w:r>
              <w:rPr>
                <w:rStyle w:val="Firstpagetablebold"/>
              </w:rPr>
              <w:t>Draft Housing &amp; Homelessness Strategy 2018-21</w:t>
            </w:r>
          </w:p>
        </w:tc>
      </w:tr>
    </w:tbl>
    <w:p w:rsidR="004F20EF" w:rsidRPr="00386B2D" w:rsidRDefault="004F20EF" w:rsidP="006E72BC">
      <w:pPr>
        <w:spacing w:after="0"/>
        <w:rPr>
          <w:sz w:val="8"/>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964356" w:rsidP="000B5648">
            <w:r>
              <w:t xml:space="preserve">To </w:t>
            </w:r>
            <w:r w:rsidR="00D943CF">
              <w:t xml:space="preserve">request that the </w:t>
            </w:r>
            <w:r w:rsidR="00751270">
              <w:t xml:space="preserve">City Executive Board approve </w:t>
            </w:r>
            <w:r w:rsidR="000B5648">
              <w:t>that t</w:t>
            </w:r>
            <w:r w:rsidR="00751270">
              <w:t xml:space="preserve">he </w:t>
            </w:r>
            <w:r>
              <w:t xml:space="preserve">Draft Housing and Homelessness Strategy 2018-21 </w:t>
            </w:r>
            <w:r w:rsidR="00D943CF">
              <w:t xml:space="preserve">(and its associated appendices) </w:t>
            </w:r>
            <w:r w:rsidR="00751270">
              <w:t xml:space="preserve">can be published </w:t>
            </w:r>
            <w:r w:rsidR="00D943CF">
              <w:t xml:space="preserve">as a </w:t>
            </w:r>
            <w:r>
              <w:t xml:space="preserve">draft </w:t>
            </w:r>
            <w:r w:rsidR="007E459E">
              <w:t xml:space="preserve">strategy </w:t>
            </w:r>
            <w:r>
              <w:t>for a period of public consultation</w:t>
            </w:r>
            <w:r w:rsidR="00C81280">
              <w:t>.</w:t>
            </w:r>
            <w:r>
              <w:t xml:space="preserve">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964356">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964356">
            <w:r w:rsidRPr="001356F1">
              <w:t xml:space="preserve">Councillor </w:t>
            </w:r>
            <w:r w:rsidR="00964356">
              <w:t>Mike Rowley, Board Member for Housing</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7E459E" w:rsidP="007E459E">
            <w:r>
              <w:t>Meeting Housing Needs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7E459E" w:rsidP="007E459E">
            <w:r>
              <w:t>Housing Strategy 2015-18</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266118" w:rsidRPr="00975B07" w:rsidTr="00266118">
        <w:trPr>
          <w:trHeight w:val="283"/>
        </w:trPr>
        <w:tc>
          <w:tcPr>
            <w:tcW w:w="426" w:type="dxa"/>
            <w:tcBorders>
              <w:top w:val="single" w:sz="8" w:space="0" w:color="000000"/>
              <w:left w:val="single" w:sz="8" w:space="0" w:color="000000"/>
              <w:bottom w:val="nil"/>
              <w:right w:val="nil"/>
            </w:tcBorders>
          </w:tcPr>
          <w:p w:rsidR="00266118" w:rsidRPr="00975B07" w:rsidRDefault="00266118" w:rsidP="004A6D2F">
            <w:r w:rsidRPr="00975B07">
              <w:t>1.</w:t>
            </w:r>
          </w:p>
        </w:tc>
        <w:tc>
          <w:tcPr>
            <w:tcW w:w="8419" w:type="dxa"/>
            <w:gridSpan w:val="2"/>
            <w:vMerge w:val="restart"/>
            <w:tcBorders>
              <w:top w:val="single" w:sz="8" w:space="0" w:color="000000"/>
              <w:left w:val="nil"/>
              <w:right w:val="single" w:sz="8" w:space="0" w:color="000000"/>
            </w:tcBorders>
            <w:shd w:val="clear" w:color="auto" w:fill="auto"/>
          </w:tcPr>
          <w:p w:rsidR="00980E98" w:rsidRDefault="00266118" w:rsidP="00980E98">
            <w:r>
              <w:rPr>
                <w:rStyle w:val="Firstpagetablebold"/>
              </w:rPr>
              <w:t>Approve</w:t>
            </w:r>
            <w:r w:rsidR="00980E98">
              <w:t xml:space="preserve"> the draft Housing and Homelessness Strategy 2018-21 as a draft for public consultation in line with requirements of the Homelessness Act 2002. </w:t>
            </w:r>
          </w:p>
          <w:p w:rsidR="00EC3DC0" w:rsidRPr="001356F1" w:rsidRDefault="00980E98" w:rsidP="00980E98">
            <w:r w:rsidRPr="00980E98">
              <w:rPr>
                <w:b/>
              </w:rPr>
              <w:t xml:space="preserve">Approve </w:t>
            </w:r>
            <w:r>
              <w:t>that as part of the consultation process, a meeting of key stakeholders is convened to assess the causes and potential remedies for the rising levels of street homelessness.</w:t>
            </w:r>
          </w:p>
        </w:tc>
      </w:tr>
      <w:tr w:rsidR="00266118" w:rsidRPr="00975B07" w:rsidTr="00266118">
        <w:trPr>
          <w:trHeight w:val="283"/>
        </w:trPr>
        <w:tc>
          <w:tcPr>
            <w:tcW w:w="426" w:type="dxa"/>
            <w:tcBorders>
              <w:top w:val="nil"/>
              <w:left w:val="single" w:sz="8" w:space="0" w:color="000000"/>
              <w:bottom w:val="nil"/>
              <w:right w:val="nil"/>
            </w:tcBorders>
          </w:tcPr>
          <w:p w:rsidR="00266118" w:rsidRDefault="00266118" w:rsidP="004A6D2F"/>
          <w:p w:rsidR="00980E98" w:rsidRPr="00975B07" w:rsidRDefault="00980E98" w:rsidP="004A6D2F"/>
        </w:tc>
        <w:tc>
          <w:tcPr>
            <w:tcW w:w="8419" w:type="dxa"/>
            <w:gridSpan w:val="2"/>
            <w:vMerge/>
            <w:tcBorders>
              <w:left w:val="nil"/>
              <w:right w:val="single" w:sz="8" w:space="0" w:color="000000"/>
            </w:tcBorders>
            <w:shd w:val="clear" w:color="auto" w:fill="auto"/>
          </w:tcPr>
          <w:p w:rsidR="00266118" w:rsidRPr="001356F1" w:rsidRDefault="00266118" w:rsidP="002069B3"/>
        </w:tc>
      </w:tr>
      <w:tr w:rsidR="00266118" w:rsidRPr="00975B07" w:rsidTr="00266118">
        <w:trPr>
          <w:trHeight w:val="283"/>
        </w:trPr>
        <w:tc>
          <w:tcPr>
            <w:tcW w:w="426" w:type="dxa"/>
            <w:tcBorders>
              <w:top w:val="nil"/>
              <w:left w:val="single" w:sz="8" w:space="0" w:color="000000"/>
              <w:bottom w:val="nil"/>
              <w:right w:val="nil"/>
            </w:tcBorders>
          </w:tcPr>
          <w:p w:rsidR="00266118" w:rsidRPr="00975B07" w:rsidRDefault="00980E98" w:rsidP="00EC3DC0">
            <w:pPr>
              <w:spacing w:after="0"/>
            </w:pPr>
            <w:r>
              <w:t>2</w:t>
            </w:r>
          </w:p>
        </w:tc>
        <w:tc>
          <w:tcPr>
            <w:tcW w:w="8419" w:type="dxa"/>
            <w:gridSpan w:val="2"/>
            <w:vMerge/>
            <w:tcBorders>
              <w:left w:val="nil"/>
              <w:right w:val="single" w:sz="8" w:space="0" w:color="000000"/>
            </w:tcBorders>
            <w:shd w:val="clear" w:color="auto" w:fill="auto"/>
          </w:tcPr>
          <w:p w:rsidR="00266118" w:rsidRPr="001356F1" w:rsidRDefault="00266118" w:rsidP="002069B3"/>
        </w:tc>
      </w:tr>
      <w:tr w:rsidR="00266118" w:rsidRPr="00975B07" w:rsidTr="00266118">
        <w:trPr>
          <w:trHeight w:val="283"/>
        </w:trPr>
        <w:tc>
          <w:tcPr>
            <w:tcW w:w="426" w:type="dxa"/>
            <w:tcBorders>
              <w:top w:val="nil"/>
              <w:left w:val="single" w:sz="8" w:space="0" w:color="000000"/>
              <w:bottom w:val="nil"/>
              <w:right w:val="nil"/>
            </w:tcBorders>
          </w:tcPr>
          <w:p w:rsidR="00266118" w:rsidRPr="00975B07" w:rsidRDefault="00266118" w:rsidP="004A6D2F"/>
        </w:tc>
        <w:tc>
          <w:tcPr>
            <w:tcW w:w="8419" w:type="dxa"/>
            <w:gridSpan w:val="2"/>
            <w:vMerge/>
            <w:tcBorders>
              <w:left w:val="nil"/>
              <w:right w:val="single" w:sz="8" w:space="0" w:color="000000"/>
            </w:tcBorders>
            <w:shd w:val="clear" w:color="auto" w:fill="auto"/>
          </w:tcPr>
          <w:p w:rsidR="00266118" w:rsidRPr="001356F1" w:rsidRDefault="00266118" w:rsidP="002069B3"/>
        </w:tc>
      </w:tr>
      <w:tr w:rsidR="00266118" w:rsidRPr="00975B07" w:rsidTr="003467CF">
        <w:trPr>
          <w:trHeight w:val="64"/>
        </w:trPr>
        <w:tc>
          <w:tcPr>
            <w:tcW w:w="426" w:type="dxa"/>
            <w:tcBorders>
              <w:top w:val="nil"/>
              <w:left w:val="single" w:sz="8" w:space="0" w:color="000000"/>
              <w:bottom w:val="single" w:sz="8" w:space="0" w:color="000000"/>
              <w:right w:val="nil"/>
            </w:tcBorders>
          </w:tcPr>
          <w:p w:rsidR="00266118" w:rsidRPr="006E72BC" w:rsidRDefault="00266118" w:rsidP="004A6D2F">
            <w:pPr>
              <w:rPr>
                <w:sz w:val="8"/>
              </w:rPr>
            </w:pPr>
          </w:p>
        </w:tc>
        <w:tc>
          <w:tcPr>
            <w:tcW w:w="8419" w:type="dxa"/>
            <w:gridSpan w:val="2"/>
            <w:vMerge/>
            <w:tcBorders>
              <w:left w:val="nil"/>
              <w:bottom w:val="single" w:sz="8" w:space="0" w:color="000000"/>
              <w:right w:val="single" w:sz="8" w:space="0" w:color="000000"/>
            </w:tcBorders>
            <w:shd w:val="clear" w:color="auto" w:fill="auto"/>
          </w:tcPr>
          <w:p w:rsidR="00266118" w:rsidRPr="001356F1" w:rsidRDefault="00266118" w:rsidP="00247C29"/>
        </w:tc>
      </w:tr>
    </w:tbl>
    <w:p w:rsidR="00CE544A" w:rsidRPr="00386B2D" w:rsidRDefault="00CE544A" w:rsidP="004A6D2F">
      <w:pPr>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7E459E" w:rsidRDefault="007E459E" w:rsidP="007E459E">
            <w:r>
              <w:t>Draft Housing and Homelessness Strategy 2018-21 with sub appendices:</w:t>
            </w:r>
          </w:p>
          <w:p w:rsidR="007E459E" w:rsidRDefault="007E459E" w:rsidP="007E459E">
            <w:r>
              <w:t xml:space="preserve">A = Evidence base; </w:t>
            </w:r>
          </w:p>
          <w:p w:rsidR="007E459E" w:rsidRDefault="007E459E" w:rsidP="007E459E">
            <w:r>
              <w:t xml:space="preserve">B = Action Plan; </w:t>
            </w:r>
          </w:p>
          <w:p w:rsidR="007E459E" w:rsidRDefault="007E459E" w:rsidP="007E459E">
            <w:r w:rsidRPr="009B6D39">
              <w:t>C=</w:t>
            </w:r>
            <w:r w:rsidR="009B6D39">
              <w:t xml:space="preserve"> National and Oxfordshire Context;</w:t>
            </w:r>
          </w:p>
          <w:p w:rsidR="0033612A" w:rsidRPr="001356F1" w:rsidRDefault="007E459E" w:rsidP="0033612A">
            <w:r>
              <w:t xml:space="preserve">D = </w:t>
            </w:r>
            <w:r w:rsidR="00EF17A7">
              <w:t>Welfare Reform Summary of Main Changes since 2011.</w:t>
            </w:r>
            <w:r>
              <w:t xml:space="preserve"> </w:t>
            </w:r>
            <w:bookmarkStart w:id="0" w:name="_GoBack"/>
            <w:bookmarkEnd w:id="0"/>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7E459E" w:rsidP="004A6D2F">
            <w:r>
              <w:t xml:space="preserve">Initial Equality Impact Assessment </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7E459E" w:rsidP="007E459E">
            <w:r>
              <w:t>Risk Register</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406" w:type="dxa"/>
            <w:tcBorders>
              <w:top w:val="nil"/>
              <w:left w:val="nil"/>
              <w:bottom w:val="single" w:sz="8" w:space="0" w:color="000000"/>
              <w:right w:val="single" w:sz="8" w:space="0" w:color="000000"/>
            </w:tcBorders>
          </w:tcPr>
          <w:p w:rsidR="0030208D" w:rsidRPr="001356F1" w:rsidRDefault="0030208D" w:rsidP="004A6D2F"/>
        </w:tc>
      </w:tr>
    </w:tbl>
    <w:p w:rsidR="0040736F" w:rsidRPr="001356F1" w:rsidRDefault="00F66DCA" w:rsidP="004A6D2F">
      <w:pPr>
        <w:pStyle w:val="Heading1"/>
      </w:pPr>
      <w:r w:rsidRPr="001356F1">
        <w:lastRenderedPageBreak/>
        <w:t xml:space="preserve">Introduction </w:t>
      </w:r>
    </w:p>
    <w:p w:rsidR="00E87F7A" w:rsidRPr="001356F1" w:rsidRDefault="00F0707C" w:rsidP="00F0707C">
      <w:pPr>
        <w:pStyle w:val="ListParagraph"/>
      </w:pPr>
      <w:r w:rsidRPr="00F0707C">
        <w:t xml:space="preserve">The Homelessness Act 2002 requires </w:t>
      </w:r>
      <w:r w:rsidR="00506C17">
        <w:t xml:space="preserve">a Local Housing Authority </w:t>
      </w:r>
      <w:r w:rsidRPr="00F0707C">
        <w:t xml:space="preserve">to have a strategy in place that sets out its vision for housing and how it will prevent and tackle homelessness and meet housing needs across its administrative area.  </w:t>
      </w:r>
      <w:r>
        <w:t xml:space="preserve">The City Council’s </w:t>
      </w:r>
      <w:r w:rsidR="00BA41A4">
        <w:t xml:space="preserve">existing </w:t>
      </w:r>
      <w:r>
        <w:t xml:space="preserve">Housing Strategy 2015-18, Homelessness Strategy 2013-18 and Empty Property Strategy 2013-18 </w:t>
      </w:r>
      <w:r w:rsidR="0061136D">
        <w:t xml:space="preserve">(and associated Action Plans) </w:t>
      </w:r>
      <w:r>
        <w:t xml:space="preserve">are all due for renewal </w:t>
      </w:r>
      <w:r w:rsidR="00751270">
        <w:t xml:space="preserve">in </w:t>
      </w:r>
      <w:r>
        <w:t>2018</w:t>
      </w:r>
      <w:r w:rsidR="0061136D">
        <w:t xml:space="preserve">.    </w:t>
      </w:r>
    </w:p>
    <w:p w:rsidR="00633578" w:rsidRPr="001356F1" w:rsidRDefault="003467CF" w:rsidP="00E87F7A">
      <w:pPr>
        <w:pStyle w:val="Heading1"/>
      </w:pPr>
      <w:r>
        <w:t>A</w:t>
      </w:r>
      <w:r w:rsidR="00F0707C">
        <w:t xml:space="preserve"> combined strategy</w:t>
      </w:r>
    </w:p>
    <w:p w:rsidR="00997381" w:rsidRDefault="00997381" w:rsidP="00D44A31">
      <w:pPr>
        <w:pStyle w:val="ListParagraph"/>
        <w:spacing w:after="0"/>
        <w:ind w:left="425" w:hanging="425"/>
      </w:pPr>
      <w:r w:rsidRPr="00F0707C">
        <w:t xml:space="preserve">Previously, the City Council has produced separate strategies for housing, homelessness and bringing empty properties back into use. </w:t>
      </w:r>
      <w:r>
        <w:t xml:space="preserve">The </w:t>
      </w:r>
      <w:r w:rsidR="003467CF">
        <w:t xml:space="preserve">Council now intends to produce a single strategy combining all three. The </w:t>
      </w:r>
      <w:r w:rsidR="006E4376">
        <w:t>reasoning behind this</w:t>
      </w:r>
      <w:r w:rsidR="003467CF">
        <w:t xml:space="preserve"> is to present a clear and coherent </w:t>
      </w:r>
      <w:r w:rsidR="006E4376">
        <w:t xml:space="preserve">overarching </w:t>
      </w:r>
      <w:r w:rsidR="003467CF">
        <w:t>strategy</w:t>
      </w:r>
      <w:r w:rsidR="00EF17A7">
        <w:t>,</w:t>
      </w:r>
      <w:r w:rsidR="003467CF">
        <w:t xml:space="preserve"> </w:t>
      </w:r>
      <w:r w:rsidR="006E4376">
        <w:t>encompassing</w:t>
      </w:r>
      <w:r w:rsidR="003467CF">
        <w:t xml:space="preserve"> all three linked themes</w:t>
      </w:r>
      <w:r w:rsidR="00EF17A7">
        <w:t>,</w:t>
      </w:r>
      <w:r w:rsidR="006E4376">
        <w:t xml:space="preserve"> which will</w:t>
      </w:r>
      <w:r w:rsidR="003467CF">
        <w:t xml:space="preserve"> improv</w:t>
      </w:r>
      <w:r w:rsidR="006E4376">
        <w:t>e</w:t>
      </w:r>
      <w:r w:rsidR="003467CF">
        <w:t xml:space="preserve"> focus and efficiency as well as being </w:t>
      </w:r>
      <w:r w:rsidR="003467CF" w:rsidRPr="00F0707C">
        <w:t>easier for customers and stakeholders to understand what</w:t>
      </w:r>
      <w:r w:rsidR="003467CF">
        <w:t xml:space="preserve"> the Council is trying to achieve in terms of housing and service provision, </w:t>
      </w:r>
      <w:r w:rsidR="003467CF" w:rsidRPr="00F0707C">
        <w:t xml:space="preserve">and how </w:t>
      </w:r>
      <w:r w:rsidR="003467CF">
        <w:t xml:space="preserve">it </w:t>
      </w:r>
      <w:r w:rsidR="003467CF" w:rsidRPr="00F0707C">
        <w:t>intend</w:t>
      </w:r>
      <w:r w:rsidR="003467CF">
        <w:t>s</w:t>
      </w:r>
      <w:r w:rsidR="003467CF" w:rsidRPr="00F0707C">
        <w:t xml:space="preserve"> to work with a range of partners</w:t>
      </w:r>
      <w:r w:rsidR="003467CF">
        <w:t>.</w:t>
      </w:r>
    </w:p>
    <w:p w:rsidR="00D44A31" w:rsidRDefault="00D44A31" w:rsidP="00D44A31">
      <w:pPr>
        <w:pStyle w:val="ListParagraph"/>
        <w:numPr>
          <w:ilvl w:val="0"/>
          <w:numId w:val="0"/>
        </w:numPr>
        <w:spacing w:after="0"/>
        <w:ind w:left="425"/>
      </w:pPr>
    </w:p>
    <w:p w:rsidR="00BA41A4" w:rsidRDefault="00935B56" w:rsidP="00D44A31">
      <w:pPr>
        <w:pStyle w:val="bParagraphtext"/>
        <w:spacing w:after="0"/>
        <w:ind w:left="425" w:hanging="425"/>
      </w:pPr>
      <w:r>
        <w:t xml:space="preserve">The </w:t>
      </w:r>
      <w:r w:rsidR="00F0707C">
        <w:t>draft Housing and Homelessness Strat</w:t>
      </w:r>
      <w:r w:rsidR="0061136D">
        <w:t>e</w:t>
      </w:r>
      <w:r w:rsidR="00F0707C">
        <w:t>gy</w:t>
      </w:r>
      <w:r w:rsidR="0061136D">
        <w:t xml:space="preserve"> 2018-21 </w:t>
      </w:r>
      <w:r w:rsidR="003467CF">
        <w:t>sets out ambitious objectives across key priorit</w:t>
      </w:r>
      <w:r w:rsidR="004B1161">
        <w:t>ies</w:t>
      </w:r>
      <w:r w:rsidR="003467CF">
        <w:t xml:space="preserve">, designed to </w:t>
      </w:r>
      <w:r w:rsidR="004B1161">
        <w:t xml:space="preserve">match the scale of the housing issues in Oxford, </w:t>
      </w:r>
      <w:r w:rsidR="005D2B98">
        <w:t xml:space="preserve">to be delivered </w:t>
      </w:r>
      <w:r w:rsidR="004B1161">
        <w:t>as best the Council and its partners are able to.</w:t>
      </w:r>
      <w:r w:rsidR="006E4376">
        <w:t xml:space="preserve"> It covers, planning for the delivery of housing, delivery itself, managing homelessness and our role as </w:t>
      </w:r>
      <w:r w:rsidR="00DE3A54">
        <w:t xml:space="preserve">an effective </w:t>
      </w:r>
      <w:r w:rsidR="006E4376">
        <w:t>landlord</w:t>
      </w:r>
      <w:r w:rsidR="00DE3A54">
        <w:t>.</w:t>
      </w:r>
    </w:p>
    <w:p w:rsidR="005D2B98" w:rsidRDefault="005D2B98" w:rsidP="00386B2D">
      <w:pPr>
        <w:spacing w:after="0"/>
        <w:ind w:left="425"/>
        <w:rPr>
          <w:bCs/>
        </w:rPr>
      </w:pPr>
    </w:p>
    <w:p w:rsidR="004B1161" w:rsidRDefault="004B1161" w:rsidP="00386B2D">
      <w:pPr>
        <w:spacing w:after="0"/>
        <w:ind w:left="357"/>
        <w:rPr>
          <w:bCs/>
        </w:rPr>
      </w:pPr>
      <w:r>
        <w:rPr>
          <w:bCs/>
        </w:rPr>
        <w:t>The key strategic aims and priorities for this strategy are:</w:t>
      </w:r>
    </w:p>
    <w:p w:rsidR="00F07021" w:rsidRPr="00F07021" w:rsidRDefault="00F07021" w:rsidP="00F07021">
      <w:pPr>
        <w:spacing w:after="0"/>
        <w:rPr>
          <w:rFonts w:eastAsiaTheme="minorHAnsi" w:cs="Arial"/>
          <w:bCs/>
          <w:color w:val="auto"/>
          <w:lang w:eastAsia="en-US"/>
        </w:rPr>
      </w:pPr>
    </w:p>
    <w:p w:rsidR="00DE3A54" w:rsidRPr="00DE3A54" w:rsidRDefault="00DE3A54" w:rsidP="00DE3A54">
      <w:pPr>
        <w:numPr>
          <w:ilvl w:val="0"/>
          <w:numId w:val="45"/>
        </w:numPr>
        <w:spacing w:after="0"/>
        <w:rPr>
          <w:rFonts w:eastAsiaTheme="minorHAnsi" w:cs="Arial"/>
          <w:bCs/>
          <w:color w:val="auto"/>
          <w:lang w:eastAsia="en-US"/>
        </w:rPr>
      </w:pPr>
      <w:r w:rsidRPr="00DE3A54">
        <w:rPr>
          <w:rFonts w:eastAsiaTheme="minorHAnsi" w:cs="Arial"/>
          <w:b/>
          <w:bCs/>
          <w:color w:val="auto"/>
          <w:lang w:eastAsia="en-US"/>
        </w:rPr>
        <w:t>Increase housing supply and improve access to affordable housing</w:t>
      </w:r>
    </w:p>
    <w:p w:rsidR="00DE3A54" w:rsidRPr="00DE3A54" w:rsidRDefault="00DE3A54" w:rsidP="00DE3A54">
      <w:pPr>
        <w:numPr>
          <w:ilvl w:val="1"/>
          <w:numId w:val="45"/>
        </w:numPr>
        <w:spacing w:after="0"/>
        <w:rPr>
          <w:rFonts w:eastAsiaTheme="minorHAnsi" w:cs="Arial"/>
          <w:bCs/>
          <w:color w:val="auto"/>
          <w:lang w:eastAsia="en-US"/>
        </w:rPr>
      </w:pPr>
      <w:r w:rsidRPr="00DE3A54">
        <w:rPr>
          <w:rFonts w:eastAsiaTheme="minorHAnsi" w:cs="Arial"/>
          <w:bCs/>
          <w:color w:val="auto"/>
          <w:lang w:eastAsia="en-US"/>
        </w:rPr>
        <w:t xml:space="preserve">Tackle the City’s housing challenges by promoting high quality development in the City, and in locations near to Oxford that are well-connected to the City, working in partnership with others, to build the homes that Oxford needs. </w:t>
      </w:r>
    </w:p>
    <w:p w:rsidR="00DE3A54" w:rsidRPr="00DE3A54" w:rsidRDefault="00DE3A54" w:rsidP="00DE3A54">
      <w:pPr>
        <w:numPr>
          <w:ilvl w:val="1"/>
          <w:numId w:val="45"/>
        </w:numPr>
        <w:spacing w:after="0"/>
        <w:rPr>
          <w:rFonts w:eastAsiaTheme="minorHAnsi" w:cs="Arial"/>
          <w:bCs/>
          <w:color w:val="auto"/>
          <w:lang w:eastAsia="en-US"/>
        </w:rPr>
      </w:pPr>
      <w:r w:rsidRPr="00DE3A54">
        <w:rPr>
          <w:rFonts w:eastAsiaTheme="minorHAnsi" w:cs="Arial"/>
          <w:bCs/>
          <w:color w:val="auto"/>
          <w:lang w:eastAsia="en-US"/>
        </w:rPr>
        <w:t>Build more affordable homes, in partnership with others to meet the needs of different income and employment groups in the City, including those on low incomes and those who are vulnerable and need support.</w:t>
      </w:r>
    </w:p>
    <w:p w:rsidR="00DE3A54" w:rsidRPr="00DE3A54" w:rsidRDefault="00DE3A54" w:rsidP="00DE3A54">
      <w:pPr>
        <w:spacing w:after="0"/>
        <w:ind w:left="720"/>
        <w:rPr>
          <w:rFonts w:eastAsiaTheme="minorHAnsi" w:cs="Arial"/>
          <w:color w:val="auto"/>
          <w:lang w:eastAsia="en-US"/>
        </w:rPr>
      </w:pPr>
    </w:p>
    <w:p w:rsidR="00DE3A54" w:rsidRPr="00DE3A54" w:rsidRDefault="00DE3A54" w:rsidP="00DE3A54">
      <w:pPr>
        <w:numPr>
          <w:ilvl w:val="0"/>
          <w:numId w:val="35"/>
        </w:numPr>
        <w:spacing w:after="0"/>
        <w:ind w:left="720"/>
        <w:rPr>
          <w:rFonts w:eastAsiaTheme="minorHAnsi" w:cs="Arial"/>
          <w:b/>
          <w:color w:val="auto"/>
          <w:lang w:eastAsia="en-US"/>
        </w:rPr>
      </w:pPr>
      <w:r w:rsidRPr="00DE3A54">
        <w:rPr>
          <w:rFonts w:eastAsiaTheme="minorHAnsi" w:cs="Arial"/>
          <w:b/>
          <w:color w:val="auto"/>
          <w:lang w:eastAsia="en-US"/>
        </w:rPr>
        <w:t xml:space="preserve">Prevent homelessness and meet the needs of vulnerable people </w:t>
      </w:r>
    </w:p>
    <w:p w:rsidR="00DE3A54" w:rsidRPr="00DE3A54" w:rsidRDefault="00DE3A54" w:rsidP="00DE3A54">
      <w:pPr>
        <w:numPr>
          <w:ilvl w:val="1"/>
          <w:numId w:val="35"/>
        </w:numPr>
        <w:spacing w:after="0"/>
        <w:ind w:left="1440"/>
        <w:rPr>
          <w:rFonts w:eastAsiaTheme="minorHAnsi" w:cs="Arial"/>
          <w:b/>
          <w:color w:val="auto"/>
          <w:lang w:eastAsia="en-US"/>
        </w:rPr>
      </w:pPr>
      <w:r w:rsidRPr="00DE3A54">
        <w:rPr>
          <w:rFonts w:eastAsiaTheme="minorHAnsi" w:cs="Arial"/>
          <w:color w:val="auto"/>
          <w:lang w:eastAsia="en-US"/>
        </w:rPr>
        <w:t>Deliver early intervention actions along with quality, holistic housing advice and effective partnership working to prevent homelessness.</w:t>
      </w:r>
    </w:p>
    <w:p w:rsidR="00DE3A54" w:rsidRPr="00DE3A54" w:rsidRDefault="00DE3A54" w:rsidP="00DE3A54">
      <w:pPr>
        <w:numPr>
          <w:ilvl w:val="1"/>
          <w:numId w:val="35"/>
        </w:numPr>
        <w:spacing w:after="0"/>
        <w:ind w:left="1440"/>
        <w:rPr>
          <w:rFonts w:eastAsiaTheme="minorHAnsi" w:cs="Arial"/>
          <w:color w:val="auto"/>
          <w:lang w:eastAsia="en-US"/>
        </w:rPr>
      </w:pPr>
      <w:r w:rsidRPr="00DE3A54">
        <w:rPr>
          <w:rFonts w:eastAsiaTheme="minorHAnsi" w:cs="Arial"/>
          <w:color w:val="auto"/>
          <w:lang w:eastAsia="en-US"/>
        </w:rPr>
        <w:t>Reduce rough sleeping and single homelessness with collaborative partnership working and effective supported housing pathways t</w:t>
      </w:r>
      <w:r w:rsidRPr="00DE3A54">
        <w:rPr>
          <w:rFonts w:eastAsiaTheme="minorHAnsi" w:cs="Arial"/>
          <w:bCs/>
          <w:color w:val="auto"/>
          <w:lang w:eastAsia="en-US"/>
        </w:rPr>
        <w:t>o help people to sustain their existing accommodation, and to provide accommodation and support for those in housing crisis.</w:t>
      </w:r>
    </w:p>
    <w:p w:rsidR="00DE3A54" w:rsidRPr="00DE3A54" w:rsidRDefault="00DE3A54" w:rsidP="00DE3A54">
      <w:pPr>
        <w:numPr>
          <w:ilvl w:val="1"/>
          <w:numId w:val="35"/>
        </w:numPr>
        <w:spacing w:after="0"/>
        <w:ind w:left="1440"/>
        <w:rPr>
          <w:rFonts w:eastAsiaTheme="minorHAnsi" w:cs="Arial"/>
          <w:color w:val="auto"/>
          <w:lang w:eastAsia="en-US"/>
        </w:rPr>
      </w:pPr>
      <w:r w:rsidRPr="00DE3A54">
        <w:rPr>
          <w:rFonts w:eastAsiaTheme="minorHAnsi" w:cs="Arial"/>
          <w:bCs/>
          <w:color w:val="auto"/>
          <w:lang w:eastAsia="en-US"/>
        </w:rPr>
        <w:t>Continue to reduce the number of homeless households that require emergency or temporary accommodation.</w:t>
      </w:r>
    </w:p>
    <w:p w:rsidR="00DE3A54" w:rsidRPr="00DE3A54" w:rsidRDefault="00DE3A54" w:rsidP="00DE3A54">
      <w:pPr>
        <w:spacing w:after="0"/>
        <w:ind w:left="1440"/>
        <w:rPr>
          <w:rFonts w:eastAsiaTheme="minorHAnsi" w:cs="Arial"/>
          <w:b/>
          <w:color w:val="auto"/>
          <w:lang w:eastAsia="en-US"/>
        </w:rPr>
      </w:pPr>
    </w:p>
    <w:p w:rsidR="00DE3A54" w:rsidRPr="00DE3A54" w:rsidRDefault="00DE3A54" w:rsidP="00DE3A54">
      <w:pPr>
        <w:numPr>
          <w:ilvl w:val="0"/>
          <w:numId w:val="35"/>
        </w:numPr>
        <w:spacing w:after="0"/>
        <w:ind w:left="720"/>
        <w:rPr>
          <w:rFonts w:eastAsiaTheme="minorHAnsi" w:cs="Arial"/>
          <w:color w:val="auto"/>
          <w:lang w:eastAsia="en-US"/>
        </w:rPr>
      </w:pPr>
      <w:r w:rsidRPr="00DE3A54">
        <w:rPr>
          <w:rFonts w:eastAsiaTheme="minorHAnsi" w:cs="Arial"/>
          <w:b/>
          <w:color w:val="auto"/>
          <w:lang w:eastAsia="en-US"/>
        </w:rPr>
        <w:t>Make best use of private sector accommodation</w:t>
      </w:r>
    </w:p>
    <w:p w:rsidR="00DE3A54" w:rsidRPr="00DE3A54" w:rsidRDefault="00DE3A54" w:rsidP="00DE3A54">
      <w:pPr>
        <w:numPr>
          <w:ilvl w:val="1"/>
          <w:numId w:val="35"/>
        </w:numPr>
        <w:spacing w:after="0"/>
        <w:ind w:left="1440"/>
        <w:rPr>
          <w:rFonts w:eastAsiaTheme="minorHAnsi" w:cs="Arial"/>
          <w:color w:val="auto"/>
          <w:lang w:eastAsia="en-US"/>
        </w:rPr>
      </w:pPr>
      <w:r w:rsidRPr="00DE3A54">
        <w:rPr>
          <w:rFonts w:eastAsiaTheme="minorHAnsi" w:cs="Arial"/>
          <w:color w:val="auto"/>
          <w:lang w:eastAsia="en-US"/>
        </w:rPr>
        <w:t>Bring empty properties back into use within the City – both residential dwellings and commercial buildings.</w:t>
      </w:r>
    </w:p>
    <w:p w:rsidR="00DE3A54" w:rsidRPr="00DE3A54" w:rsidRDefault="00DE3A54" w:rsidP="00DE3A54">
      <w:pPr>
        <w:numPr>
          <w:ilvl w:val="1"/>
          <w:numId w:val="35"/>
        </w:numPr>
        <w:spacing w:after="0"/>
        <w:ind w:left="1440"/>
        <w:rPr>
          <w:rFonts w:eastAsiaTheme="minorHAnsi" w:cs="Arial"/>
          <w:color w:val="auto"/>
          <w:lang w:eastAsia="en-US"/>
        </w:rPr>
      </w:pPr>
      <w:r w:rsidRPr="00DE3A54">
        <w:rPr>
          <w:rFonts w:eastAsiaTheme="minorHAnsi" w:cs="Arial"/>
          <w:bCs/>
          <w:color w:val="auto"/>
          <w:lang w:eastAsia="en-US"/>
        </w:rPr>
        <w:t>Improve access to homes available to rent in the private sector for people receiving low incomes.</w:t>
      </w:r>
    </w:p>
    <w:p w:rsidR="00DE3A54" w:rsidRPr="00DE3A54" w:rsidRDefault="00DE3A54" w:rsidP="00DE3A54">
      <w:pPr>
        <w:numPr>
          <w:ilvl w:val="1"/>
          <w:numId w:val="35"/>
        </w:numPr>
        <w:spacing w:after="0"/>
        <w:ind w:left="1440"/>
        <w:rPr>
          <w:rFonts w:eastAsiaTheme="minorHAnsi" w:cs="Arial"/>
          <w:color w:val="auto"/>
          <w:lang w:eastAsia="en-US"/>
        </w:rPr>
      </w:pPr>
      <w:r w:rsidRPr="00DE3A54">
        <w:rPr>
          <w:rFonts w:eastAsiaTheme="minorHAnsi" w:cs="Arial"/>
          <w:bCs/>
          <w:color w:val="auto"/>
          <w:lang w:eastAsia="en-US"/>
        </w:rPr>
        <w:lastRenderedPageBreak/>
        <w:t>Improve the condition of homes in the private sector by working with private sector landlords and actively enforcing standards for private rented housing; improving energy efficiency; and managing the impact on neighbourhoods of Houses in Multiple Occupation.</w:t>
      </w:r>
    </w:p>
    <w:p w:rsidR="00DE3A54" w:rsidRPr="00DE3A54" w:rsidRDefault="00DE3A54" w:rsidP="00DE3A54">
      <w:pPr>
        <w:spacing w:after="0"/>
        <w:ind w:left="1440"/>
        <w:rPr>
          <w:rFonts w:eastAsiaTheme="minorHAnsi" w:cs="Arial"/>
          <w:color w:val="auto"/>
          <w:lang w:eastAsia="en-US"/>
        </w:rPr>
      </w:pPr>
    </w:p>
    <w:p w:rsidR="00DE3A54" w:rsidRPr="00DE3A54" w:rsidRDefault="00DE3A54" w:rsidP="00DE3A54">
      <w:pPr>
        <w:numPr>
          <w:ilvl w:val="0"/>
          <w:numId w:val="35"/>
        </w:numPr>
        <w:spacing w:after="0"/>
        <w:ind w:left="720"/>
        <w:rPr>
          <w:rFonts w:eastAsiaTheme="minorHAnsi" w:cs="Arial"/>
          <w:b/>
          <w:bCs/>
          <w:lang w:eastAsia="en-US"/>
        </w:rPr>
      </w:pPr>
      <w:r w:rsidRPr="00DE3A54">
        <w:rPr>
          <w:rFonts w:eastAsiaTheme="minorHAnsi" w:cs="Arial"/>
          <w:b/>
          <w:bCs/>
          <w:lang w:eastAsia="en-US"/>
        </w:rPr>
        <w:t>Invest to create sustainable communities that are safe and healthy</w:t>
      </w:r>
    </w:p>
    <w:p w:rsidR="00DE3A54" w:rsidRPr="00DE3A54" w:rsidRDefault="00DE3A54" w:rsidP="00DE3A54">
      <w:pPr>
        <w:numPr>
          <w:ilvl w:val="1"/>
          <w:numId w:val="35"/>
        </w:numPr>
        <w:spacing w:after="0"/>
        <w:ind w:left="1440"/>
        <w:rPr>
          <w:rFonts w:eastAsiaTheme="minorHAnsi" w:cs="Arial"/>
          <w:bCs/>
          <w:color w:val="auto"/>
          <w:lang w:eastAsia="en-US"/>
        </w:rPr>
      </w:pPr>
      <w:r w:rsidRPr="00DE3A54">
        <w:rPr>
          <w:rFonts w:eastAsiaTheme="minorHAnsi" w:cs="Arial"/>
          <w:bCs/>
          <w:lang w:eastAsia="en-US"/>
        </w:rPr>
        <w:t xml:space="preserve">Regenerate estates to continue to improve and make best use of Council-owned and private sector housing. </w:t>
      </w:r>
    </w:p>
    <w:p w:rsidR="00DE3A54" w:rsidRPr="00DE3A54" w:rsidRDefault="00DE3A54" w:rsidP="00DE3A54">
      <w:pPr>
        <w:numPr>
          <w:ilvl w:val="1"/>
          <w:numId w:val="35"/>
        </w:numPr>
        <w:spacing w:after="0"/>
        <w:ind w:left="1440"/>
        <w:rPr>
          <w:rFonts w:eastAsiaTheme="minorHAnsi" w:cs="Arial"/>
          <w:bCs/>
          <w:color w:val="auto"/>
          <w:lang w:eastAsia="en-US"/>
        </w:rPr>
      </w:pPr>
      <w:r w:rsidRPr="00DE3A54">
        <w:rPr>
          <w:rFonts w:eastAsiaTheme="minorHAnsi" w:cs="Arial"/>
          <w:bCs/>
          <w:lang w:eastAsia="en-US"/>
        </w:rPr>
        <w:t xml:space="preserve">Improve </w:t>
      </w:r>
      <w:r w:rsidRPr="00DE3A54">
        <w:rPr>
          <w:rFonts w:eastAsiaTheme="minorHAnsi" w:cs="Arial"/>
          <w:bCs/>
          <w:color w:val="auto"/>
          <w:lang w:eastAsia="en-US"/>
        </w:rPr>
        <w:t>the general environment of our estates</w:t>
      </w:r>
      <w:r w:rsidRPr="00DE3A54">
        <w:rPr>
          <w:rFonts w:eastAsiaTheme="minorHAnsi" w:cs="Arial"/>
          <w:bCs/>
          <w:lang w:eastAsia="en-US"/>
        </w:rPr>
        <w:t xml:space="preserve"> by d</w:t>
      </w:r>
      <w:r w:rsidRPr="00DE3A54">
        <w:rPr>
          <w:rFonts w:eastAsiaTheme="minorHAnsi" w:cs="Arial"/>
          <w:bCs/>
          <w:color w:val="auto"/>
          <w:lang w:eastAsia="en-US"/>
        </w:rPr>
        <w:t>elivering our investment programmes and contributing to programmes designed to improve health and wellbeing of residents.</w:t>
      </w:r>
    </w:p>
    <w:p w:rsidR="00DE3A54" w:rsidRPr="00DE3A54" w:rsidRDefault="00DE3A54" w:rsidP="00DE3A54">
      <w:pPr>
        <w:numPr>
          <w:ilvl w:val="1"/>
          <w:numId w:val="35"/>
        </w:numPr>
        <w:spacing w:after="0"/>
        <w:ind w:left="1440"/>
        <w:rPr>
          <w:rFonts w:eastAsiaTheme="minorHAnsi" w:cs="Arial"/>
          <w:bCs/>
          <w:color w:val="auto"/>
          <w:lang w:eastAsia="en-US"/>
        </w:rPr>
      </w:pPr>
      <w:r w:rsidRPr="00DE3A54">
        <w:rPr>
          <w:rFonts w:eastAsiaTheme="minorHAnsi" w:cs="Arial"/>
          <w:bCs/>
          <w:color w:val="auto"/>
          <w:lang w:eastAsia="en-US"/>
        </w:rPr>
        <w:t xml:space="preserve">Take action to mitigate </w:t>
      </w:r>
      <w:r w:rsidRPr="00DE3A54">
        <w:rPr>
          <w:rFonts w:eastAsiaTheme="minorHAnsi" w:cs="Arial"/>
          <w:color w:val="auto"/>
          <w:lang w:eastAsia="en-US"/>
        </w:rPr>
        <w:t xml:space="preserve">the impacts of Welfare Reform and the introduction of Universal Credit. </w:t>
      </w:r>
    </w:p>
    <w:p w:rsidR="00DE3A54" w:rsidRPr="00DE3A54" w:rsidRDefault="00DE3A54" w:rsidP="00DE3A54">
      <w:pPr>
        <w:spacing w:after="0"/>
        <w:rPr>
          <w:rFonts w:eastAsiaTheme="minorHAnsi" w:cs="Arial"/>
          <w:color w:val="auto"/>
          <w:lang w:eastAsia="en-US"/>
        </w:rPr>
      </w:pPr>
    </w:p>
    <w:p w:rsidR="00DE3A54" w:rsidRPr="00DE3A54" w:rsidRDefault="00DE3A54" w:rsidP="00DE3A54">
      <w:pPr>
        <w:numPr>
          <w:ilvl w:val="0"/>
          <w:numId w:val="35"/>
        </w:numPr>
        <w:spacing w:after="0"/>
        <w:ind w:left="720"/>
        <w:rPr>
          <w:rFonts w:eastAsiaTheme="minorHAnsi" w:cs="Arial"/>
          <w:b/>
          <w:bCs/>
          <w:lang w:eastAsia="en-US"/>
        </w:rPr>
      </w:pPr>
      <w:r w:rsidRPr="00DE3A54">
        <w:rPr>
          <w:rFonts w:eastAsiaTheme="minorHAnsi" w:cs="Arial"/>
          <w:b/>
          <w:bCs/>
          <w:lang w:eastAsia="en-US"/>
        </w:rPr>
        <w:t>Be an effective landlord and deliver quality services</w:t>
      </w:r>
    </w:p>
    <w:p w:rsidR="00DE3A54" w:rsidRPr="00DE3A54" w:rsidRDefault="00DE3A54" w:rsidP="00DE3A54">
      <w:pPr>
        <w:numPr>
          <w:ilvl w:val="1"/>
          <w:numId w:val="35"/>
        </w:numPr>
        <w:spacing w:after="0"/>
        <w:ind w:left="1440"/>
        <w:rPr>
          <w:rFonts w:eastAsiaTheme="minorHAnsi" w:cs="Arial"/>
          <w:bCs/>
          <w:color w:val="auto"/>
          <w:lang w:eastAsia="en-US"/>
        </w:rPr>
      </w:pPr>
      <w:r w:rsidRPr="00DE3A54">
        <w:rPr>
          <w:rFonts w:eastAsiaTheme="minorHAnsi" w:cs="Arial"/>
          <w:bCs/>
          <w:color w:val="auto"/>
          <w:lang w:eastAsia="en-US"/>
        </w:rPr>
        <w:t>Retain, let and manage good quality Council-owned homes at affordable rents that residents can sustain effectively, and ensure that tenancy arrangements are aligned with new legislation.</w:t>
      </w:r>
    </w:p>
    <w:p w:rsidR="00DE3A54" w:rsidRPr="00DE3A54" w:rsidRDefault="00DE3A54" w:rsidP="00DE3A54">
      <w:pPr>
        <w:numPr>
          <w:ilvl w:val="1"/>
          <w:numId w:val="35"/>
        </w:numPr>
        <w:spacing w:after="0"/>
        <w:ind w:left="1440"/>
        <w:rPr>
          <w:rFonts w:eastAsiaTheme="minorHAnsi" w:cs="Arial"/>
          <w:bCs/>
          <w:color w:val="auto"/>
          <w:lang w:eastAsia="en-US"/>
        </w:rPr>
      </w:pPr>
      <w:r w:rsidRPr="00DE3A54">
        <w:rPr>
          <w:rFonts w:eastAsiaTheme="minorHAnsi" w:cs="Arial"/>
          <w:bCs/>
          <w:color w:val="auto"/>
          <w:lang w:eastAsia="en-US"/>
        </w:rPr>
        <w:t>Continue to improve the condition of Council stock through capital investment programmes focussed on regeneration and refurbishment projects.</w:t>
      </w:r>
    </w:p>
    <w:p w:rsidR="00DE3A54" w:rsidRPr="00DE3A54" w:rsidRDefault="00DE3A54" w:rsidP="00DE3A54">
      <w:pPr>
        <w:numPr>
          <w:ilvl w:val="1"/>
          <w:numId w:val="35"/>
        </w:numPr>
        <w:spacing w:after="0"/>
        <w:ind w:left="1440"/>
        <w:rPr>
          <w:rFonts w:eastAsiaTheme="minorHAnsi" w:cs="Arial"/>
          <w:bCs/>
          <w:color w:val="auto"/>
          <w:lang w:eastAsia="en-US"/>
        </w:rPr>
      </w:pPr>
      <w:r w:rsidRPr="00DE3A54">
        <w:rPr>
          <w:rFonts w:eastAsiaTheme="minorHAnsi" w:cs="Arial"/>
          <w:bCs/>
          <w:color w:val="auto"/>
          <w:lang w:eastAsia="en-US"/>
        </w:rPr>
        <w:t>Continue to support a resident-led approach to developing high quality and inclusive services.</w:t>
      </w:r>
    </w:p>
    <w:p w:rsidR="00187187" w:rsidRPr="006C15C4" w:rsidRDefault="00187187" w:rsidP="006C15C4">
      <w:pPr>
        <w:spacing w:after="0"/>
        <w:ind w:left="720"/>
        <w:rPr>
          <w:b/>
        </w:rPr>
      </w:pPr>
    </w:p>
    <w:p w:rsidR="004E49B8" w:rsidRDefault="004E49B8" w:rsidP="006C15C4">
      <w:pPr>
        <w:pStyle w:val="ListParagraph"/>
        <w:spacing w:after="0"/>
        <w:rPr>
          <w:rFonts w:eastAsia="Calibri" w:cs="Arial"/>
          <w:color w:val="auto"/>
          <w:lang w:eastAsia="en-US"/>
        </w:rPr>
      </w:pPr>
      <w:r w:rsidRPr="004E49B8">
        <w:rPr>
          <w:rFonts w:eastAsia="Calibri" w:cs="Arial"/>
          <w:color w:val="auto"/>
          <w:lang w:eastAsia="en-US"/>
        </w:rPr>
        <w:t xml:space="preserve">The strategy sets out details of </w:t>
      </w:r>
      <w:r w:rsidR="00DE3A54">
        <w:rPr>
          <w:rFonts w:eastAsia="Calibri" w:cs="Arial"/>
          <w:color w:val="auto"/>
          <w:lang w:eastAsia="en-US"/>
        </w:rPr>
        <w:t xml:space="preserve">the </w:t>
      </w:r>
      <w:r w:rsidRPr="004E49B8">
        <w:rPr>
          <w:rFonts w:eastAsia="Calibri" w:cs="Arial"/>
          <w:color w:val="auto"/>
          <w:lang w:eastAsia="en-US"/>
        </w:rPr>
        <w:t xml:space="preserve">challenges that drive these priorities, the key objectives and the actions the </w:t>
      </w:r>
      <w:r w:rsidR="00122D13">
        <w:rPr>
          <w:rFonts w:eastAsia="Calibri" w:cs="Arial"/>
          <w:color w:val="auto"/>
          <w:lang w:eastAsia="en-US"/>
        </w:rPr>
        <w:t>C</w:t>
      </w:r>
      <w:r w:rsidRPr="004E49B8">
        <w:rPr>
          <w:rFonts w:eastAsia="Calibri" w:cs="Arial"/>
          <w:color w:val="auto"/>
          <w:lang w:eastAsia="en-US"/>
        </w:rPr>
        <w:t>ouncil is taking, or plans to take</w:t>
      </w:r>
      <w:r w:rsidR="00DE3A54">
        <w:rPr>
          <w:rFonts w:eastAsia="Calibri" w:cs="Arial"/>
          <w:color w:val="auto"/>
          <w:lang w:eastAsia="en-US"/>
        </w:rPr>
        <w:t>,</w:t>
      </w:r>
      <w:r w:rsidRPr="004E49B8">
        <w:rPr>
          <w:rFonts w:eastAsia="Calibri" w:cs="Arial"/>
          <w:color w:val="auto"/>
          <w:lang w:eastAsia="en-US"/>
        </w:rPr>
        <w:t xml:space="preserve"> to address them.</w:t>
      </w:r>
    </w:p>
    <w:p w:rsidR="004E49B8" w:rsidRDefault="004E49B8" w:rsidP="006C15C4">
      <w:pPr>
        <w:spacing w:after="0"/>
        <w:rPr>
          <w:rFonts w:eastAsia="Calibri" w:cs="Arial"/>
          <w:color w:val="auto"/>
          <w:lang w:eastAsia="en-US"/>
        </w:rPr>
      </w:pPr>
    </w:p>
    <w:p w:rsidR="004E49B8" w:rsidRDefault="004E49B8" w:rsidP="006C15C4">
      <w:pPr>
        <w:pStyle w:val="ListParagraph"/>
        <w:spacing w:after="0"/>
        <w:rPr>
          <w:rFonts w:eastAsia="Calibri"/>
          <w:lang w:eastAsia="en-US"/>
        </w:rPr>
      </w:pPr>
      <w:r>
        <w:rPr>
          <w:rFonts w:eastAsia="Calibri"/>
          <w:lang w:eastAsia="en-US"/>
        </w:rPr>
        <w:t xml:space="preserve">Key </w:t>
      </w:r>
      <w:r w:rsidR="006305AF">
        <w:rPr>
          <w:rFonts w:eastAsia="Calibri"/>
          <w:lang w:eastAsia="en-US"/>
        </w:rPr>
        <w:t>actions</w:t>
      </w:r>
      <w:r>
        <w:rPr>
          <w:rFonts w:eastAsia="Calibri"/>
          <w:lang w:eastAsia="en-US"/>
        </w:rPr>
        <w:t xml:space="preserve"> identified in the strategy </w:t>
      </w:r>
      <w:r w:rsidR="006305AF">
        <w:rPr>
          <w:rFonts w:eastAsia="Calibri"/>
          <w:lang w:eastAsia="en-US"/>
        </w:rPr>
        <w:t xml:space="preserve">to deliver these priorities </w:t>
      </w:r>
      <w:r>
        <w:rPr>
          <w:rFonts w:eastAsia="Calibri"/>
          <w:lang w:eastAsia="en-US"/>
        </w:rPr>
        <w:t>include</w:t>
      </w:r>
      <w:r w:rsidR="00F07021">
        <w:rPr>
          <w:rFonts w:eastAsia="Calibri"/>
          <w:lang w:eastAsia="en-US"/>
        </w:rPr>
        <w:t>:</w:t>
      </w:r>
      <w:r>
        <w:rPr>
          <w:rFonts w:eastAsia="Calibri"/>
          <w:lang w:eastAsia="en-US"/>
        </w:rPr>
        <w:t xml:space="preserve"> </w:t>
      </w:r>
    </w:p>
    <w:p w:rsidR="006C15C4" w:rsidRDefault="006C15C4" w:rsidP="006C15C4">
      <w:pPr>
        <w:pStyle w:val="ListParagraph"/>
        <w:numPr>
          <w:ilvl w:val="0"/>
          <w:numId w:val="0"/>
        </w:numPr>
        <w:spacing w:after="0"/>
        <w:ind w:left="360"/>
        <w:rPr>
          <w:rFonts w:eastAsia="Calibri"/>
          <w:lang w:eastAsia="en-US"/>
        </w:rPr>
      </w:pPr>
    </w:p>
    <w:p w:rsidR="004E49B8" w:rsidRDefault="004E49B8" w:rsidP="005A01FE">
      <w:pPr>
        <w:numPr>
          <w:ilvl w:val="0"/>
          <w:numId w:val="41"/>
        </w:numPr>
        <w:contextualSpacing/>
        <w:rPr>
          <w:rFonts w:eastAsia="Calibri" w:cs="Arial"/>
          <w:lang w:eastAsia="en-US"/>
        </w:rPr>
      </w:pPr>
      <w:r>
        <w:rPr>
          <w:rFonts w:eastAsia="Calibri" w:cs="Arial"/>
          <w:lang w:eastAsia="en-US"/>
        </w:rPr>
        <w:t>Facilitat</w:t>
      </w:r>
      <w:r w:rsidR="00DE3A54">
        <w:rPr>
          <w:rFonts w:eastAsia="Calibri" w:cs="Arial"/>
          <w:lang w:eastAsia="en-US"/>
        </w:rPr>
        <w:t>ing</w:t>
      </w:r>
      <w:r>
        <w:rPr>
          <w:rFonts w:eastAsia="Calibri" w:cs="Arial"/>
          <w:lang w:eastAsia="en-US"/>
        </w:rPr>
        <w:t xml:space="preserve"> development and d</w:t>
      </w:r>
      <w:r w:rsidRPr="004E49B8">
        <w:rPr>
          <w:rFonts w:eastAsia="Calibri" w:cs="Arial"/>
          <w:lang w:eastAsia="en-US"/>
        </w:rPr>
        <w:t>eliver</w:t>
      </w:r>
      <w:r>
        <w:rPr>
          <w:rFonts w:eastAsia="Calibri" w:cs="Arial"/>
          <w:lang w:eastAsia="en-US"/>
        </w:rPr>
        <w:t>y of</w:t>
      </w:r>
      <w:r w:rsidRPr="004E49B8">
        <w:rPr>
          <w:rFonts w:eastAsia="Calibri" w:cs="Arial"/>
          <w:lang w:eastAsia="en-US"/>
        </w:rPr>
        <w:t xml:space="preserve"> more</w:t>
      </w:r>
      <w:r>
        <w:rPr>
          <w:rFonts w:eastAsia="Calibri" w:cs="Arial"/>
          <w:lang w:eastAsia="en-US"/>
        </w:rPr>
        <w:t xml:space="preserve"> homes and</w:t>
      </w:r>
      <w:r w:rsidRPr="004E49B8">
        <w:rPr>
          <w:rFonts w:eastAsia="Calibri" w:cs="Arial"/>
          <w:lang w:eastAsia="en-US"/>
        </w:rPr>
        <w:t xml:space="preserve"> aff</w:t>
      </w:r>
      <w:r>
        <w:rPr>
          <w:rFonts w:eastAsia="Calibri" w:cs="Arial"/>
          <w:lang w:eastAsia="en-US"/>
        </w:rPr>
        <w:t>ordable homes directly</w:t>
      </w:r>
      <w:r w:rsidRPr="004E49B8">
        <w:rPr>
          <w:rFonts w:eastAsia="Calibri" w:cs="Arial"/>
          <w:lang w:eastAsia="en-US"/>
        </w:rPr>
        <w:t xml:space="preserve"> through the Council-owned Housing Company</w:t>
      </w:r>
      <w:r w:rsidR="00122D13">
        <w:rPr>
          <w:rFonts w:eastAsia="Calibri" w:cs="Arial"/>
          <w:lang w:eastAsia="en-US"/>
        </w:rPr>
        <w:t xml:space="preserve"> or with partners</w:t>
      </w:r>
      <w:r>
        <w:rPr>
          <w:rFonts w:eastAsia="Calibri" w:cs="Arial"/>
          <w:lang w:eastAsia="en-US"/>
        </w:rPr>
        <w:t xml:space="preserve"> (for example</w:t>
      </w:r>
      <w:r w:rsidR="00DE3A54">
        <w:rPr>
          <w:rFonts w:eastAsia="Calibri" w:cs="Arial"/>
          <w:lang w:eastAsia="en-US"/>
        </w:rPr>
        <w:t>,</w:t>
      </w:r>
      <w:r>
        <w:rPr>
          <w:rFonts w:eastAsia="Calibri" w:cs="Arial"/>
          <w:lang w:eastAsia="en-US"/>
        </w:rPr>
        <w:t xml:space="preserve"> with</w:t>
      </w:r>
      <w:r w:rsidR="00122D13">
        <w:rPr>
          <w:rFonts w:eastAsia="Calibri" w:cs="Arial"/>
          <w:lang w:eastAsia="en-US"/>
        </w:rPr>
        <w:t xml:space="preserve"> R</w:t>
      </w:r>
      <w:r w:rsidR="00DE3A54">
        <w:rPr>
          <w:rFonts w:eastAsia="Calibri" w:cs="Arial"/>
          <w:lang w:eastAsia="en-US"/>
        </w:rPr>
        <w:t>egistered Provider</w:t>
      </w:r>
      <w:r w:rsidR="00122D13">
        <w:rPr>
          <w:rFonts w:eastAsia="Calibri" w:cs="Arial"/>
          <w:lang w:eastAsia="en-US"/>
        </w:rPr>
        <w:t>s</w:t>
      </w:r>
      <w:r w:rsidR="00DE3A54">
        <w:rPr>
          <w:rFonts w:eastAsia="Calibri" w:cs="Arial"/>
          <w:lang w:eastAsia="en-US"/>
        </w:rPr>
        <w:t xml:space="preserve">, the </w:t>
      </w:r>
      <w:r>
        <w:rPr>
          <w:rFonts w:eastAsia="Calibri" w:cs="Arial"/>
          <w:lang w:eastAsia="en-US"/>
        </w:rPr>
        <w:t>University</w:t>
      </w:r>
      <w:r w:rsidR="00DE3A54">
        <w:rPr>
          <w:rFonts w:eastAsia="Calibri" w:cs="Arial"/>
          <w:lang w:eastAsia="en-US"/>
        </w:rPr>
        <w:t xml:space="preserve"> and other public bodies</w:t>
      </w:r>
      <w:r>
        <w:rPr>
          <w:rFonts w:eastAsia="Calibri" w:cs="Arial"/>
          <w:lang w:eastAsia="en-US"/>
        </w:rPr>
        <w:t>)</w:t>
      </w:r>
      <w:r w:rsidR="00DE3A54">
        <w:rPr>
          <w:rFonts w:eastAsia="Calibri" w:cs="Arial"/>
          <w:lang w:eastAsia="en-US"/>
        </w:rPr>
        <w:t>,</w:t>
      </w:r>
      <w:r w:rsidR="00122D13">
        <w:rPr>
          <w:rFonts w:eastAsia="Calibri" w:cs="Arial"/>
          <w:lang w:eastAsia="en-US"/>
        </w:rPr>
        <w:t xml:space="preserve"> and by encouraging developers to bring forward development</w:t>
      </w:r>
      <w:r w:rsidR="00DE3A54">
        <w:rPr>
          <w:rFonts w:eastAsia="Calibri" w:cs="Arial"/>
          <w:lang w:eastAsia="en-US"/>
        </w:rPr>
        <w:t xml:space="preserve"> through</w:t>
      </w:r>
      <w:r w:rsidR="00122D13">
        <w:rPr>
          <w:rFonts w:eastAsia="Calibri" w:cs="Arial"/>
          <w:lang w:eastAsia="en-US"/>
        </w:rPr>
        <w:t xml:space="preserve"> our Local Plan</w:t>
      </w:r>
      <w:r w:rsidR="00DE3A54">
        <w:rPr>
          <w:rFonts w:eastAsia="Calibri" w:cs="Arial"/>
          <w:lang w:eastAsia="en-US"/>
        </w:rPr>
        <w:t>.</w:t>
      </w:r>
    </w:p>
    <w:p w:rsidR="004E49B8" w:rsidRPr="006C15C4" w:rsidRDefault="004E49B8" w:rsidP="005A01FE">
      <w:pPr>
        <w:numPr>
          <w:ilvl w:val="0"/>
          <w:numId w:val="41"/>
        </w:numPr>
        <w:contextualSpacing/>
        <w:rPr>
          <w:rFonts w:eastAsia="Calibri" w:cs="Arial"/>
          <w:lang w:eastAsia="en-US"/>
        </w:rPr>
      </w:pPr>
      <w:r>
        <w:rPr>
          <w:rFonts w:eastAsia="Calibri" w:cs="Arial"/>
          <w:lang w:eastAsia="en-US"/>
        </w:rPr>
        <w:t>Work</w:t>
      </w:r>
      <w:r w:rsidR="009548DC">
        <w:rPr>
          <w:rFonts w:eastAsia="Calibri" w:cs="Arial"/>
          <w:lang w:eastAsia="en-US"/>
        </w:rPr>
        <w:t>ing</w:t>
      </w:r>
      <w:r>
        <w:rPr>
          <w:rFonts w:eastAsia="Calibri" w:cs="Arial"/>
          <w:lang w:eastAsia="en-US"/>
        </w:rPr>
        <w:t xml:space="preserve"> with other </w:t>
      </w:r>
      <w:r w:rsidR="006305AF">
        <w:rPr>
          <w:rFonts w:eastAsia="Calibri" w:cs="Arial"/>
          <w:lang w:eastAsia="en-US"/>
        </w:rPr>
        <w:t>Oxfordshire</w:t>
      </w:r>
      <w:r>
        <w:rPr>
          <w:rFonts w:eastAsia="Calibri" w:cs="Arial"/>
          <w:lang w:eastAsia="en-US"/>
        </w:rPr>
        <w:t xml:space="preserve"> </w:t>
      </w:r>
      <w:r w:rsidR="00122D13">
        <w:rPr>
          <w:rFonts w:eastAsia="Calibri" w:cs="Arial"/>
          <w:lang w:eastAsia="en-US"/>
        </w:rPr>
        <w:t>A</w:t>
      </w:r>
      <w:r>
        <w:rPr>
          <w:rFonts w:eastAsia="Calibri" w:cs="Arial"/>
          <w:lang w:eastAsia="en-US"/>
        </w:rPr>
        <w:t xml:space="preserve">uthorities to jointly plan </w:t>
      </w:r>
      <w:r w:rsidR="006305AF">
        <w:rPr>
          <w:rFonts w:eastAsia="Calibri" w:cs="Arial"/>
          <w:lang w:eastAsia="en-US"/>
        </w:rPr>
        <w:t>and secure investment in housing to meet Oxford’s unmet needs</w:t>
      </w:r>
      <w:r w:rsidR="005A01FE">
        <w:rPr>
          <w:rFonts w:eastAsia="Calibri" w:cs="Arial"/>
          <w:lang w:eastAsia="en-US"/>
        </w:rPr>
        <w:t>, and to agree the arrangements in respect of th</w:t>
      </w:r>
      <w:r w:rsidR="005A01FE">
        <w:t xml:space="preserve">e </w:t>
      </w:r>
      <w:r w:rsidR="006305AF" w:rsidRPr="00686244">
        <w:t>mix of dwelling types</w:t>
      </w:r>
      <w:r w:rsidR="005A01FE">
        <w:t>,</w:t>
      </w:r>
      <w:r w:rsidR="006305AF" w:rsidRPr="00686244">
        <w:t xml:space="preserve"> tenure,</w:t>
      </w:r>
      <w:r w:rsidR="005A01FE">
        <w:t xml:space="preserve"> </w:t>
      </w:r>
      <w:r w:rsidR="006305AF" w:rsidRPr="00686244">
        <w:t>letting</w:t>
      </w:r>
      <w:r w:rsidR="005A01FE">
        <w:t xml:space="preserve"> and</w:t>
      </w:r>
      <w:r w:rsidR="006305AF" w:rsidRPr="00686244">
        <w:t xml:space="preserve"> management</w:t>
      </w:r>
      <w:r w:rsidR="005A01FE">
        <w:t xml:space="preserve">, </w:t>
      </w:r>
      <w:r w:rsidR="006305AF" w:rsidRPr="00686244">
        <w:t>and affordable h</w:t>
      </w:r>
      <w:r w:rsidR="006305AF">
        <w:t>ousing nomination</w:t>
      </w:r>
      <w:r w:rsidR="005A01FE">
        <w:t>s.</w:t>
      </w:r>
    </w:p>
    <w:p w:rsidR="004E49B8" w:rsidRPr="006C15C4" w:rsidRDefault="005A01FE" w:rsidP="005A01FE">
      <w:pPr>
        <w:numPr>
          <w:ilvl w:val="0"/>
          <w:numId w:val="41"/>
        </w:numPr>
        <w:spacing w:after="0"/>
        <w:ind w:left="714" w:hanging="357"/>
        <w:rPr>
          <w:rFonts w:eastAsia="Calibri" w:cs="Arial"/>
          <w:color w:val="auto"/>
          <w:lang w:eastAsia="en-US"/>
        </w:rPr>
      </w:pPr>
      <w:r>
        <w:t>Further a</w:t>
      </w:r>
      <w:r w:rsidR="006305AF">
        <w:t>lign</w:t>
      </w:r>
      <w:r w:rsidR="009548DC">
        <w:t>ing</w:t>
      </w:r>
      <w:r w:rsidR="006305AF">
        <w:t xml:space="preserve"> </w:t>
      </w:r>
      <w:r w:rsidR="006305AF" w:rsidRPr="00875F5F">
        <w:t xml:space="preserve">service delivery and budgets to ensure that there are sufficient resources, skills and expertise to deliver </w:t>
      </w:r>
      <w:r w:rsidR="006305AF">
        <w:t>more homelessness prevention</w:t>
      </w:r>
      <w:r>
        <w:t xml:space="preserve"> activities</w:t>
      </w:r>
      <w:r w:rsidR="006305AF">
        <w:t xml:space="preserve"> and meet the requirements introduced </w:t>
      </w:r>
      <w:r>
        <w:t>by</w:t>
      </w:r>
      <w:r w:rsidR="006305AF">
        <w:t xml:space="preserve"> the new</w:t>
      </w:r>
      <w:r w:rsidR="006305AF" w:rsidRPr="00875F5F">
        <w:t xml:space="preserve"> Homelessness Reduction Act 2017</w:t>
      </w:r>
      <w:r>
        <w:t>.</w:t>
      </w:r>
    </w:p>
    <w:p w:rsidR="006305AF" w:rsidRPr="006C15C4" w:rsidRDefault="005A01FE" w:rsidP="005A01FE">
      <w:pPr>
        <w:numPr>
          <w:ilvl w:val="0"/>
          <w:numId w:val="41"/>
        </w:numPr>
        <w:spacing w:after="0"/>
        <w:ind w:left="714" w:hanging="357"/>
        <w:rPr>
          <w:rFonts w:eastAsia="Calibri" w:cs="Arial"/>
          <w:color w:val="auto"/>
          <w:lang w:eastAsia="en-US"/>
        </w:rPr>
      </w:pPr>
      <w:r>
        <w:t>Lead</w:t>
      </w:r>
      <w:r w:rsidR="009548DC">
        <w:t>ing</w:t>
      </w:r>
      <w:r>
        <w:t xml:space="preserve"> on the impl</w:t>
      </w:r>
      <w:r w:rsidR="006305AF">
        <w:t>ement</w:t>
      </w:r>
      <w:r>
        <w:t>ation of</w:t>
      </w:r>
      <w:r w:rsidR="006305AF">
        <w:t xml:space="preserve"> the £790,000 </w:t>
      </w:r>
      <w:r w:rsidR="006305AF" w:rsidRPr="00875F5F">
        <w:t xml:space="preserve">Trailblazer project to deliver targeted </w:t>
      </w:r>
      <w:r w:rsidR="006305AF">
        <w:t>u</w:t>
      </w:r>
      <w:r w:rsidR="006305AF" w:rsidRPr="00875F5F">
        <w:t xml:space="preserve">pstream </w:t>
      </w:r>
      <w:r w:rsidR="006305AF">
        <w:t>homelessness p</w:t>
      </w:r>
      <w:r w:rsidR="006305AF" w:rsidRPr="00875F5F">
        <w:t>revention</w:t>
      </w:r>
      <w:r>
        <w:t xml:space="preserve"> activities through</w:t>
      </w:r>
      <w:r w:rsidR="006305AF">
        <w:t xml:space="preserve"> outreach visits; enhanc</w:t>
      </w:r>
      <w:r>
        <w:t>ing</w:t>
      </w:r>
      <w:r w:rsidR="006305AF">
        <w:t xml:space="preserve"> services to help with personal and financial resilience; and develop</w:t>
      </w:r>
      <w:r>
        <w:t>ing</w:t>
      </w:r>
      <w:r w:rsidR="006305AF">
        <w:t xml:space="preserve"> a countywide </w:t>
      </w:r>
      <w:r w:rsidR="006305AF" w:rsidRPr="00875F5F">
        <w:t>homelessness champions</w:t>
      </w:r>
      <w:r>
        <w:t>’</w:t>
      </w:r>
      <w:r w:rsidR="006305AF" w:rsidRPr="00875F5F">
        <w:t xml:space="preserve"> network</w:t>
      </w:r>
      <w:r w:rsidR="006305AF">
        <w:t xml:space="preserve"> across partner organisations</w:t>
      </w:r>
      <w:r w:rsidR="005D2D6E">
        <w:t xml:space="preserve"> to enhance understanding of the triggers of homelessness and to identify innovative solutions.</w:t>
      </w:r>
      <w:r>
        <w:t xml:space="preserve"> </w:t>
      </w:r>
    </w:p>
    <w:p w:rsidR="006305AF" w:rsidRDefault="006305AF" w:rsidP="005A01FE">
      <w:pPr>
        <w:pStyle w:val="ListParagraph"/>
        <w:numPr>
          <w:ilvl w:val="0"/>
          <w:numId w:val="41"/>
        </w:numPr>
        <w:tabs>
          <w:tab w:val="clear" w:pos="426"/>
        </w:tabs>
        <w:contextualSpacing/>
      </w:pPr>
      <w:r>
        <w:t>Prevent</w:t>
      </w:r>
      <w:r w:rsidR="009548DC">
        <w:t>ing</w:t>
      </w:r>
      <w:r w:rsidRPr="0087000B">
        <w:t xml:space="preserve"> homelessness and respond </w:t>
      </w:r>
      <w:r w:rsidR="00397BB3">
        <w:t xml:space="preserve">to </w:t>
      </w:r>
      <w:r w:rsidRPr="0087000B">
        <w:t xml:space="preserve">rough sleeping </w:t>
      </w:r>
      <w:r>
        <w:t>by working to prevent homelessness prior to the point of crisis by</w:t>
      </w:r>
      <w:r w:rsidR="005D2D6E">
        <w:t>:</w:t>
      </w:r>
      <w:r>
        <w:t xml:space="preserve"> </w:t>
      </w:r>
      <w:r w:rsidR="005D2D6E">
        <w:t xml:space="preserve">working in partnership with a range </w:t>
      </w:r>
      <w:r w:rsidR="005D2D6E">
        <w:lastRenderedPageBreak/>
        <w:t xml:space="preserve">of statutory and non-statutory agencies, voluntary and community sector organisations to develop appropriate early interventions; </w:t>
      </w:r>
      <w:r>
        <w:t>improv</w:t>
      </w:r>
      <w:r w:rsidR="005D2D6E">
        <w:t>e</w:t>
      </w:r>
      <w:r>
        <w:t xml:space="preserve"> work with</w:t>
      </w:r>
      <w:r w:rsidR="005D2D6E">
        <w:t xml:space="preserve"> </w:t>
      </w:r>
      <w:r>
        <w:t xml:space="preserve">health and criminal justice partners around </w:t>
      </w:r>
      <w:r w:rsidR="005D2D6E">
        <w:t xml:space="preserve">hospital and prison </w:t>
      </w:r>
      <w:r>
        <w:t>discharges</w:t>
      </w:r>
      <w:r w:rsidR="005D2D6E">
        <w:t xml:space="preserve"> respectively</w:t>
      </w:r>
      <w:r>
        <w:t xml:space="preserve">; and reducing </w:t>
      </w:r>
      <w:r w:rsidRPr="00875F5F">
        <w:t>eviction</w:t>
      </w:r>
      <w:r>
        <w:t>s from supported housing,</w:t>
      </w:r>
      <w:r w:rsidRPr="00875F5F">
        <w:t xml:space="preserve"> especially</w:t>
      </w:r>
      <w:r w:rsidR="005D2D6E">
        <w:t xml:space="preserve"> where there is a need for </w:t>
      </w:r>
      <w:r w:rsidRPr="00875F5F">
        <w:t>mental health services</w:t>
      </w:r>
      <w:r w:rsidR="005D2D6E">
        <w:t xml:space="preserve"> to support individuals</w:t>
      </w:r>
      <w:r w:rsidRPr="00875F5F">
        <w:t xml:space="preserve"> </w:t>
      </w:r>
      <w:r>
        <w:t>(No Return to the Streets).</w:t>
      </w:r>
      <w:r w:rsidRPr="00875F5F">
        <w:t xml:space="preserve"> </w:t>
      </w:r>
    </w:p>
    <w:p w:rsidR="00CA2689" w:rsidRPr="00CA2689" w:rsidRDefault="00CA2689" w:rsidP="00B5777B">
      <w:pPr>
        <w:pStyle w:val="ListParagraph"/>
        <w:numPr>
          <w:ilvl w:val="0"/>
          <w:numId w:val="41"/>
        </w:numPr>
        <w:spacing w:after="0"/>
        <w:contextualSpacing/>
        <w:rPr>
          <w:bCs/>
        </w:rPr>
      </w:pPr>
      <w:r w:rsidRPr="00CA2689">
        <w:t>Develop</w:t>
      </w:r>
      <w:r>
        <w:t xml:space="preserve">ing </w:t>
      </w:r>
      <w:r w:rsidRPr="00CA2689">
        <w:t>stronger and broader working relations and new partnership approaches with stakeholders to facilitate a collaboratively co-designed City-wide framework and response to preventing and tackling h</w:t>
      </w:r>
      <w:r>
        <w:t>omelessness and rough sleeping.</w:t>
      </w:r>
    </w:p>
    <w:p w:rsidR="00B5777B" w:rsidRPr="00CA2689" w:rsidRDefault="00B5777B" w:rsidP="00B5777B">
      <w:pPr>
        <w:pStyle w:val="ListParagraph"/>
        <w:numPr>
          <w:ilvl w:val="0"/>
          <w:numId w:val="41"/>
        </w:numPr>
        <w:spacing w:after="0"/>
        <w:contextualSpacing/>
        <w:rPr>
          <w:bCs/>
        </w:rPr>
      </w:pPr>
      <w:r>
        <w:t>R</w:t>
      </w:r>
      <w:r w:rsidRPr="00A171D9">
        <w:t>educ</w:t>
      </w:r>
      <w:r w:rsidR="00CA2689">
        <w:t>ing</w:t>
      </w:r>
      <w:r w:rsidRPr="00A171D9">
        <w:t xml:space="preserve"> the number of empty dwellings in the city and therefore increase the availability of much needed accommodation</w:t>
      </w:r>
      <w:r>
        <w:t>.</w:t>
      </w:r>
    </w:p>
    <w:p w:rsidR="00187187" w:rsidRPr="00B5777B" w:rsidRDefault="00397BB3" w:rsidP="00B5777B">
      <w:pPr>
        <w:pStyle w:val="ListParagraph"/>
        <w:numPr>
          <w:ilvl w:val="0"/>
          <w:numId w:val="41"/>
        </w:numPr>
        <w:tabs>
          <w:tab w:val="clear" w:pos="426"/>
        </w:tabs>
        <w:spacing w:after="0"/>
        <w:contextualSpacing/>
        <w:rPr>
          <w:bCs/>
        </w:rPr>
      </w:pPr>
      <w:r>
        <w:t>Consider</w:t>
      </w:r>
      <w:r w:rsidR="009548DC">
        <w:t>ing an</w:t>
      </w:r>
      <w:r>
        <w:t xml:space="preserve"> increas</w:t>
      </w:r>
      <w:r w:rsidR="009548DC">
        <w:t xml:space="preserve">e in </w:t>
      </w:r>
      <w:r>
        <w:t>a</w:t>
      </w:r>
      <w:r w:rsidR="00187187">
        <w:t xml:space="preserve">ccommodation available for </w:t>
      </w:r>
      <w:r w:rsidR="00E62A91">
        <w:t>homeless households</w:t>
      </w:r>
      <w:r w:rsidR="00187187">
        <w:t xml:space="preserve"> through </w:t>
      </w:r>
      <w:r>
        <w:t xml:space="preserve">expansion of </w:t>
      </w:r>
      <w:r w:rsidR="00187187">
        <w:t>our Real Lettings Scheme</w:t>
      </w:r>
      <w:r w:rsidR="009548DC">
        <w:t>.</w:t>
      </w:r>
    </w:p>
    <w:p w:rsidR="00187187" w:rsidRDefault="00187187" w:rsidP="00B5777B">
      <w:pPr>
        <w:pStyle w:val="ListParagraph"/>
        <w:numPr>
          <w:ilvl w:val="0"/>
          <w:numId w:val="41"/>
        </w:numPr>
        <w:tabs>
          <w:tab w:val="clear" w:pos="426"/>
        </w:tabs>
        <w:spacing w:after="0"/>
        <w:contextualSpacing/>
        <w:rPr>
          <w:bCs/>
        </w:rPr>
      </w:pPr>
      <w:r>
        <w:rPr>
          <w:bCs/>
        </w:rPr>
        <w:t>Invest</w:t>
      </w:r>
      <w:r w:rsidR="009548DC">
        <w:rPr>
          <w:bCs/>
        </w:rPr>
        <w:t>ing</w:t>
      </w:r>
      <w:r>
        <w:rPr>
          <w:bCs/>
        </w:rPr>
        <w:t xml:space="preserve"> £8.7 m in regeneration schemes for Blackbird Leys and Barton, and £4.2 million on our Great Estate pro</w:t>
      </w:r>
      <w:r w:rsidR="009548DC">
        <w:rPr>
          <w:bCs/>
        </w:rPr>
        <w:t>ject</w:t>
      </w:r>
      <w:r w:rsidR="00B5777B">
        <w:rPr>
          <w:bCs/>
        </w:rPr>
        <w:t>.</w:t>
      </w:r>
    </w:p>
    <w:p w:rsidR="00B5777B" w:rsidRPr="008826F0" w:rsidRDefault="00187187" w:rsidP="00B5777B">
      <w:pPr>
        <w:pStyle w:val="ListParagraph"/>
        <w:numPr>
          <w:ilvl w:val="0"/>
          <w:numId w:val="41"/>
        </w:numPr>
        <w:tabs>
          <w:tab w:val="clear" w:pos="426"/>
        </w:tabs>
        <w:spacing w:after="0"/>
        <w:contextualSpacing/>
        <w:rPr>
          <w:bCs/>
        </w:rPr>
      </w:pPr>
      <w:r>
        <w:rPr>
          <w:bCs/>
        </w:rPr>
        <w:t>Deliver</w:t>
      </w:r>
      <w:r w:rsidR="009548DC">
        <w:rPr>
          <w:bCs/>
        </w:rPr>
        <w:t>ing</w:t>
      </w:r>
      <w:r>
        <w:rPr>
          <w:bCs/>
        </w:rPr>
        <w:t xml:space="preserve"> £</w:t>
      </w:r>
      <w:r w:rsidR="007C461F">
        <w:rPr>
          <w:bCs/>
        </w:rPr>
        <w:t>15.5</w:t>
      </w:r>
      <w:r>
        <w:rPr>
          <w:bCs/>
        </w:rPr>
        <w:t xml:space="preserve"> million programme of</w:t>
      </w:r>
      <w:r w:rsidR="007C461F">
        <w:rPr>
          <w:bCs/>
        </w:rPr>
        <w:t xml:space="preserve"> refurbishment works, upgrades and improvements to</w:t>
      </w:r>
      <w:r w:rsidR="007D3C15">
        <w:rPr>
          <w:bCs/>
        </w:rPr>
        <w:t xml:space="preserve"> </w:t>
      </w:r>
      <w:r>
        <w:rPr>
          <w:bCs/>
        </w:rPr>
        <w:t>City Council Homes</w:t>
      </w:r>
      <w:r w:rsidR="007D3C15">
        <w:rPr>
          <w:bCs/>
        </w:rPr>
        <w:t>,</w:t>
      </w:r>
      <w:r w:rsidR="007C461F">
        <w:rPr>
          <w:bCs/>
        </w:rPr>
        <w:t xml:space="preserve"> adaptations and energy efficiency.</w:t>
      </w:r>
      <w:r w:rsidR="00B5777B">
        <w:rPr>
          <w:bCs/>
        </w:rPr>
        <w:t xml:space="preserve"> </w:t>
      </w:r>
    </w:p>
    <w:p w:rsidR="00187187" w:rsidRDefault="00187187" w:rsidP="006C15C4">
      <w:pPr>
        <w:numPr>
          <w:ilvl w:val="0"/>
          <w:numId w:val="41"/>
        </w:numPr>
        <w:spacing w:after="0"/>
        <w:contextualSpacing/>
        <w:rPr>
          <w:bCs/>
        </w:rPr>
      </w:pPr>
      <w:r w:rsidRPr="006C15C4">
        <w:rPr>
          <w:bCs/>
        </w:rPr>
        <w:t>Build</w:t>
      </w:r>
      <w:r w:rsidR="00CA2689">
        <w:rPr>
          <w:bCs/>
        </w:rPr>
        <w:t>ing</w:t>
      </w:r>
      <w:r w:rsidRPr="006C15C4">
        <w:rPr>
          <w:bCs/>
        </w:rPr>
        <w:t xml:space="preserve"> on </w:t>
      </w:r>
      <w:r w:rsidRPr="00724AA3">
        <w:rPr>
          <w:bCs/>
        </w:rPr>
        <w:t>the success of our award winn</w:t>
      </w:r>
      <w:r w:rsidR="007C461F">
        <w:rPr>
          <w:bCs/>
        </w:rPr>
        <w:t>ing T</w:t>
      </w:r>
      <w:r w:rsidRPr="00E62A91">
        <w:rPr>
          <w:bCs/>
        </w:rPr>
        <w:t xml:space="preserve">enant </w:t>
      </w:r>
      <w:r w:rsidR="007C461F">
        <w:rPr>
          <w:bCs/>
        </w:rPr>
        <w:t>I</w:t>
      </w:r>
      <w:r w:rsidRPr="00E62A91">
        <w:rPr>
          <w:bCs/>
        </w:rPr>
        <w:t xml:space="preserve">nvolvement </w:t>
      </w:r>
      <w:r w:rsidR="007C461F">
        <w:rPr>
          <w:bCs/>
        </w:rPr>
        <w:t>T</w:t>
      </w:r>
      <w:r w:rsidRPr="00E62A91">
        <w:rPr>
          <w:bCs/>
        </w:rPr>
        <w:t>eam to engage</w:t>
      </w:r>
      <w:r w:rsidR="007C461F">
        <w:rPr>
          <w:bCs/>
        </w:rPr>
        <w:t xml:space="preserve"> and empower</w:t>
      </w:r>
      <w:r w:rsidRPr="00E62A91">
        <w:rPr>
          <w:bCs/>
        </w:rPr>
        <w:t xml:space="preserve"> tenants in improving our services</w:t>
      </w:r>
      <w:r w:rsidR="007C461F">
        <w:rPr>
          <w:bCs/>
        </w:rPr>
        <w:t>,</w:t>
      </w:r>
      <w:r w:rsidRPr="00E62A91">
        <w:rPr>
          <w:bCs/>
        </w:rPr>
        <w:t xml:space="preserve"> their living environment and </w:t>
      </w:r>
      <w:r w:rsidR="007C461F">
        <w:rPr>
          <w:bCs/>
        </w:rPr>
        <w:t xml:space="preserve">their </w:t>
      </w:r>
      <w:r w:rsidRPr="00187187">
        <w:rPr>
          <w:bCs/>
        </w:rPr>
        <w:t>wellbeing.</w:t>
      </w:r>
    </w:p>
    <w:p w:rsidR="00B5777B" w:rsidRPr="00187187" w:rsidRDefault="00B5777B" w:rsidP="006C15C4">
      <w:pPr>
        <w:numPr>
          <w:ilvl w:val="0"/>
          <w:numId w:val="41"/>
        </w:numPr>
        <w:spacing w:after="0"/>
        <w:contextualSpacing/>
        <w:rPr>
          <w:bCs/>
        </w:rPr>
      </w:pPr>
      <w:r w:rsidRPr="00724AA3">
        <w:rPr>
          <w:bCs/>
        </w:rPr>
        <w:t>Continu</w:t>
      </w:r>
      <w:r w:rsidR="009548DC">
        <w:rPr>
          <w:bCs/>
        </w:rPr>
        <w:t>ing to</w:t>
      </w:r>
      <w:r w:rsidRPr="00724AA3">
        <w:rPr>
          <w:bCs/>
        </w:rPr>
        <w:t xml:space="preserve"> work </w:t>
      </w:r>
      <w:r w:rsidR="00187187" w:rsidRPr="00E62A91">
        <w:rPr>
          <w:bCs/>
        </w:rPr>
        <w:t>to improve</w:t>
      </w:r>
      <w:r w:rsidRPr="00E62A91">
        <w:rPr>
          <w:bCs/>
        </w:rPr>
        <w:t xml:space="preserve"> private rented sector properties</w:t>
      </w:r>
      <w:r w:rsidR="007C461F">
        <w:rPr>
          <w:bCs/>
        </w:rPr>
        <w:t xml:space="preserve"> and support the creation of </w:t>
      </w:r>
      <w:r w:rsidRPr="00E62A91">
        <w:rPr>
          <w:bCs/>
        </w:rPr>
        <w:t xml:space="preserve">sustainable communities </w:t>
      </w:r>
      <w:r w:rsidR="007C461F">
        <w:rPr>
          <w:bCs/>
        </w:rPr>
        <w:t>e.</w:t>
      </w:r>
      <w:r w:rsidRPr="00187187">
        <w:rPr>
          <w:bCs/>
        </w:rPr>
        <w:t xml:space="preserve">g. </w:t>
      </w:r>
      <w:r w:rsidR="007C461F">
        <w:rPr>
          <w:bCs/>
        </w:rPr>
        <w:t>l</w:t>
      </w:r>
      <w:r w:rsidRPr="00187187">
        <w:rPr>
          <w:bCs/>
        </w:rPr>
        <w:t>icensing Houses in Multiple Occupation, regulation of single dwellings, enforcement action on unlawful dwellings, provide Disabled Facilities Grants and Flexible Home Improvement Loans</w:t>
      </w:r>
      <w:r w:rsidR="007C461F">
        <w:rPr>
          <w:bCs/>
        </w:rPr>
        <w:t>, provide energy efficiency advice and information</w:t>
      </w:r>
      <w:r w:rsidRPr="00187187">
        <w:rPr>
          <w:bCs/>
        </w:rPr>
        <w:t>.</w:t>
      </w:r>
    </w:p>
    <w:p w:rsidR="00B5777B" w:rsidRPr="00B5777B" w:rsidRDefault="00B5777B" w:rsidP="006C15C4">
      <w:pPr>
        <w:pStyle w:val="ListParagraph"/>
        <w:numPr>
          <w:ilvl w:val="0"/>
          <w:numId w:val="0"/>
        </w:numPr>
        <w:tabs>
          <w:tab w:val="clear" w:pos="426"/>
        </w:tabs>
        <w:spacing w:after="0"/>
        <w:ind w:left="360" w:hanging="360"/>
        <w:contextualSpacing/>
        <w:rPr>
          <w:rFonts w:eastAsia="Calibri" w:cs="Arial"/>
          <w:color w:val="auto"/>
          <w:lang w:eastAsia="en-US"/>
        </w:rPr>
      </w:pPr>
    </w:p>
    <w:p w:rsidR="004E49B8" w:rsidRPr="004E49B8" w:rsidRDefault="004E49B8" w:rsidP="006C15C4">
      <w:pPr>
        <w:pStyle w:val="ListParagraph"/>
        <w:rPr>
          <w:rFonts w:eastAsia="Calibri"/>
          <w:lang w:eastAsia="en-US"/>
        </w:rPr>
      </w:pPr>
      <w:r w:rsidRPr="004E49B8">
        <w:rPr>
          <w:rFonts w:eastAsia="Calibri"/>
          <w:lang w:eastAsia="en-US"/>
        </w:rPr>
        <w:t xml:space="preserve">The strategy </w:t>
      </w:r>
      <w:r w:rsidR="007C461F">
        <w:rPr>
          <w:rFonts w:eastAsia="Calibri"/>
          <w:lang w:eastAsia="en-US"/>
        </w:rPr>
        <w:t xml:space="preserve">takes into account recent </w:t>
      </w:r>
      <w:r w:rsidRPr="004E49B8">
        <w:rPr>
          <w:rFonts w:eastAsia="Calibri"/>
          <w:lang w:eastAsia="en-US"/>
        </w:rPr>
        <w:t>and emerging changes to</w:t>
      </w:r>
      <w:r w:rsidR="007C461F">
        <w:rPr>
          <w:rFonts w:eastAsia="Calibri"/>
          <w:lang w:eastAsia="en-US"/>
        </w:rPr>
        <w:t xml:space="preserve"> legislation</w:t>
      </w:r>
      <w:r w:rsidRPr="004E49B8">
        <w:rPr>
          <w:rFonts w:eastAsia="Calibri"/>
          <w:lang w:eastAsia="en-US"/>
        </w:rPr>
        <w:t xml:space="preserve"> national and local policy, including:</w:t>
      </w:r>
    </w:p>
    <w:p w:rsidR="004E49B8" w:rsidRPr="004E49B8" w:rsidRDefault="004E49B8" w:rsidP="004E49B8">
      <w:pPr>
        <w:numPr>
          <w:ilvl w:val="0"/>
          <w:numId w:val="40"/>
        </w:numPr>
        <w:spacing w:after="0"/>
        <w:contextualSpacing/>
        <w:rPr>
          <w:rFonts w:eastAsia="Calibri" w:cs="Arial"/>
          <w:color w:val="auto"/>
          <w:lang w:eastAsia="en-US"/>
        </w:rPr>
      </w:pPr>
      <w:r w:rsidRPr="004E49B8">
        <w:rPr>
          <w:rFonts w:eastAsia="Calibri" w:cs="Arial"/>
          <w:color w:val="auto"/>
          <w:lang w:eastAsia="en-US"/>
        </w:rPr>
        <w:t>The Homelessness Reduction Act</w:t>
      </w:r>
      <w:r w:rsidR="006F4122">
        <w:rPr>
          <w:rFonts w:eastAsia="Calibri" w:cs="Arial"/>
          <w:color w:val="auto"/>
          <w:lang w:eastAsia="en-US"/>
        </w:rPr>
        <w:t xml:space="preserve"> 2017</w:t>
      </w:r>
      <w:r w:rsidRPr="004E49B8">
        <w:rPr>
          <w:rFonts w:eastAsia="Calibri" w:cs="Arial"/>
          <w:color w:val="auto"/>
          <w:lang w:eastAsia="en-US"/>
        </w:rPr>
        <w:t xml:space="preserve"> (which places greater emphasis on prevention and new duties for </w:t>
      </w:r>
      <w:r w:rsidR="006F4122">
        <w:rPr>
          <w:rFonts w:eastAsia="Calibri" w:cs="Arial"/>
          <w:color w:val="auto"/>
          <w:lang w:eastAsia="en-US"/>
        </w:rPr>
        <w:t>local housing authorities and public bodies</w:t>
      </w:r>
      <w:r w:rsidRPr="004E49B8">
        <w:rPr>
          <w:rFonts w:eastAsia="Calibri" w:cs="Arial"/>
          <w:color w:val="auto"/>
          <w:lang w:eastAsia="en-US"/>
        </w:rPr>
        <w:t>)</w:t>
      </w:r>
      <w:r w:rsidR="006F4122">
        <w:rPr>
          <w:rFonts w:eastAsia="Calibri" w:cs="Arial"/>
          <w:color w:val="auto"/>
          <w:lang w:eastAsia="en-US"/>
        </w:rPr>
        <w:t>.</w:t>
      </w:r>
    </w:p>
    <w:p w:rsidR="004E49B8" w:rsidRPr="004E49B8" w:rsidRDefault="004E49B8" w:rsidP="004E49B8">
      <w:pPr>
        <w:numPr>
          <w:ilvl w:val="0"/>
          <w:numId w:val="40"/>
        </w:numPr>
        <w:spacing w:after="0"/>
        <w:contextualSpacing/>
        <w:rPr>
          <w:rFonts w:eastAsia="Calibri" w:cs="Arial"/>
          <w:color w:val="auto"/>
          <w:lang w:eastAsia="en-US"/>
        </w:rPr>
      </w:pPr>
      <w:r w:rsidRPr="004E49B8">
        <w:rPr>
          <w:rFonts w:eastAsia="Calibri" w:cs="Arial"/>
          <w:color w:val="auto"/>
          <w:lang w:eastAsia="en-US"/>
        </w:rPr>
        <w:t>Impacts of Welfare Reform – changes to benefits and rents</w:t>
      </w:r>
      <w:r w:rsidR="006F4122">
        <w:rPr>
          <w:rFonts w:eastAsia="Calibri" w:cs="Arial"/>
          <w:color w:val="auto"/>
          <w:lang w:eastAsia="en-US"/>
        </w:rPr>
        <w:t>.</w:t>
      </w:r>
    </w:p>
    <w:p w:rsidR="004E49B8" w:rsidRPr="004E49B8" w:rsidRDefault="004E49B8" w:rsidP="004E49B8">
      <w:pPr>
        <w:numPr>
          <w:ilvl w:val="0"/>
          <w:numId w:val="40"/>
        </w:numPr>
        <w:spacing w:after="0"/>
        <w:contextualSpacing/>
        <w:rPr>
          <w:rFonts w:eastAsia="Calibri" w:cs="Arial"/>
          <w:color w:val="auto"/>
          <w:lang w:eastAsia="en-US"/>
        </w:rPr>
      </w:pPr>
      <w:r w:rsidRPr="004E49B8">
        <w:rPr>
          <w:rFonts w:eastAsia="Calibri" w:cs="Arial"/>
          <w:color w:val="auto"/>
          <w:lang w:eastAsia="en-US"/>
        </w:rPr>
        <w:t>Changes and uncertainties in national housing policy and impact of the Housing and Planning Act (2016) and the Housing White Paper (2017)</w:t>
      </w:r>
      <w:r w:rsidR="006F4122">
        <w:rPr>
          <w:rFonts w:eastAsia="Calibri" w:cs="Arial"/>
          <w:color w:val="auto"/>
          <w:lang w:eastAsia="en-US"/>
        </w:rPr>
        <w:t>.</w:t>
      </w:r>
    </w:p>
    <w:p w:rsidR="004E49B8" w:rsidRPr="004E49B8" w:rsidRDefault="004E49B8" w:rsidP="004E49B8">
      <w:pPr>
        <w:numPr>
          <w:ilvl w:val="0"/>
          <w:numId w:val="40"/>
        </w:numPr>
        <w:spacing w:after="0"/>
        <w:contextualSpacing/>
        <w:rPr>
          <w:rFonts w:eastAsia="Calibri" w:cs="Arial"/>
          <w:color w:val="auto"/>
          <w:lang w:eastAsia="en-US"/>
        </w:rPr>
      </w:pPr>
      <w:r w:rsidRPr="004E49B8">
        <w:rPr>
          <w:rFonts w:eastAsia="Calibri" w:cs="Arial"/>
          <w:color w:val="auto"/>
          <w:lang w:eastAsia="en-US"/>
        </w:rPr>
        <w:t>Oxford Local Plan Review (recognising that consultation on the L</w:t>
      </w:r>
      <w:r w:rsidR="006F4122">
        <w:rPr>
          <w:rFonts w:eastAsia="Calibri" w:cs="Arial"/>
          <w:color w:val="auto"/>
          <w:lang w:eastAsia="en-US"/>
        </w:rPr>
        <w:t xml:space="preserve">ocal </w:t>
      </w:r>
      <w:r w:rsidRPr="004E49B8">
        <w:rPr>
          <w:rFonts w:eastAsia="Calibri" w:cs="Arial"/>
          <w:color w:val="auto"/>
          <w:lang w:eastAsia="en-US"/>
        </w:rPr>
        <w:t>P</w:t>
      </w:r>
      <w:r w:rsidR="006F4122">
        <w:rPr>
          <w:rFonts w:eastAsia="Calibri" w:cs="Arial"/>
          <w:color w:val="auto"/>
          <w:lang w:eastAsia="en-US"/>
        </w:rPr>
        <w:t>lan</w:t>
      </w:r>
      <w:r w:rsidRPr="004E49B8">
        <w:rPr>
          <w:rFonts w:eastAsia="Calibri" w:cs="Arial"/>
          <w:color w:val="auto"/>
          <w:lang w:eastAsia="en-US"/>
        </w:rPr>
        <w:t xml:space="preserve"> is underway)</w:t>
      </w:r>
      <w:r w:rsidR="006F4122">
        <w:rPr>
          <w:rFonts w:eastAsia="Calibri" w:cs="Arial"/>
          <w:color w:val="auto"/>
          <w:lang w:eastAsia="en-US"/>
        </w:rPr>
        <w:t>.</w:t>
      </w:r>
    </w:p>
    <w:p w:rsidR="004E49B8" w:rsidRPr="004E49B8" w:rsidRDefault="004E49B8" w:rsidP="004E49B8">
      <w:pPr>
        <w:numPr>
          <w:ilvl w:val="0"/>
          <w:numId w:val="40"/>
        </w:numPr>
        <w:spacing w:after="0"/>
        <w:contextualSpacing/>
        <w:rPr>
          <w:rFonts w:eastAsia="Calibri" w:cs="Arial"/>
          <w:color w:val="auto"/>
          <w:lang w:eastAsia="en-US"/>
        </w:rPr>
      </w:pPr>
      <w:r w:rsidRPr="004E49B8">
        <w:rPr>
          <w:rFonts w:eastAsia="Calibri" w:cs="Arial"/>
          <w:color w:val="auto"/>
          <w:lang w:eastAsia="en-US"/>
        </w:rPr>
        <w:t>Achievements of the Growth Board’s post-SHMA work and joint work with Oxfordshire Partners on strategic planning for growth and housing delivery</w:t>
      </w:r>
      <w:r w:rsidR="006F4122">
        <w:rPr>
          <w:rFonts w:eastAsia="Calibri" w:cs="Arial"/>
          <w:color w:val="auto"/>
          <w:lang w:eastAsia="en-US"/>
        </w:rPr>
        <w:t>.</w:t>
      </w:r>
      <w:r w:rsidRPr="004E49B8">
        <w:rPr>
          <w:rFonts w:eastAsia="Calibri" w:cs="Arial"/>
          <w:color w:val="auto"/>
          <w:lang w:eastAsia="en-US"/>
        </w:rPr>
        <w:t xml:space="preserve"> </w:t>
      </w:r>
    </w:p>
    <w:p w:rsidR="004E49B8" w:rsidRPr="004E49B8" w:rsidRDefault="006F4122" w:rsidP="004E49B8">
      <w:pPr>
        <w:numPr>
          <w:ilvl w:val="0"/>
          <w:numId w:val="40"/>
        </w:numPr>
        <w:spacing w:after="0"/>
        <w:contextualSpacing/>
        <w:rPr>
          <w:rFonts w:eastAsia="Calibri" w:cs="Arial"/>
          <w:color w:val="auto"/>
          <w:lang w:eastAsia="en-US"/>
        </w:rPr>
      </w:pPr>
      <w:r>
        <w:rPr>
          <w:rFonts w:eastAsia="Calibri" w:cs="Arial"/>
          <w:color w:val="auto"/>
          <w:lang w:eastAsia="en-US"/>
        </w:rPr>
        <w:t>Creation of the Council-owned Ho</w:t>
      </w:r>
      <w:r w:rsidR="004E49B8" w:rsidRPr="004E49B8">
        <w:rPr>
          <w:rFonts w:eastAsia="Calibri" w:cs="Arial"/>
          <w:color w:val="auto"/>
          <w:lang w:eastAsia="en-US"/>
        </w:rPr>
        <w:t>using Company</w:t>
      </w:r>
      <w:r>
        <w:rPr>
          <w:rFonts w:eastAsia="Calibri" w:cs="Arial"/>
          <w:color w:val="auto"/>
          <w:lang w:eastAsia="en-US"/>
        </w:rPr>
        <w:t>.</w:t>
      </w:r>
      <w:r w:rsidR="004E49B8" w:rsidRPr="004E49B8">
        <w:rPr>
          <w:rFonts w:eastAsia="Calibri" w:cs="Arial"/>
          <w:color w:val="auto"/>
          <w:lang w:eastAsia="en-US"/>
        </w:rPr>
        <w:t xml:space="preserve"> </w:t>
      </w:r>
    </w:p>
    <w:p w:rsidR="004E49B8" w:rsidRDefault="004E49B8" w:rsidP="004E49B8">
      <w:pPr>
        <w:numPr>
          <w:ilvl w:val="0"/>
          <w:numId w:val="40"/>
        </w:numPr>
        <w:spacing w:after="0"/>
        <w:contextualSpacing/>
        <w:rPr>
          <w:rFonts w:eastAsia="Calibri" w:cs="Arial"/>
          <w:color w:val="auto"/>
          <w:lang w:eastAsia="en-US"/>
        </w:rPr>
      </w:pPr>
      <w:r w:rsidRPr="004E49B8">
        <w:rPr>
          <w:rFonts w:eastAsia="Calibri" w:cs="Arial"/>
          <w:color w:val="auto"/>
          <w:lang w:eastAsia="en-US"/>
        </w:rPr>
        <w:t xml:space="preserve">Reductions to County funding of Homelessness Services and recommissioning </w:t>
      </w:r>
      <w:r w:rsidR="006F4122">
        <w:rPr>
          <w:rFonts w:eastAsia="Calibri" w:cs="Arial"/>
          <w:color w:val="auto"/>
          <w:lang w:eastAsia="en-US"/>
        </w:rPr>
        <w:t xml:space="preserve">of homelessness </w:t>
      </w:r>
      <w:r w:rsidRPr="004E49B8">
        <w:rPr>
          <w:rFonts w:eastAsia="Calibri" w:cs="Arial"/>
          <w:color w:val="auto"/>
          <w:lang w:eastAsia="en-US"/>
        </w:rPr>
        <w:t>pathway</w:t>
      </w:r>
      <w:r w:rsidR="006F4122">
        <w:rPr>
          <w:rFonts w:eastAsia="Calibri" w:cs="Arial"/>
          <w:color w:val="auto"/>
          <w:lang w:eastAsia="en-US"/>
        </w:rPr>
        <w:t>s.</w:t>
      </w:r>
    </w:p>
    <w:p w:rsidR="004E49B8" w:rsidRDefault="004E49B8" w:rsidP="006C15C4">
      <w:pPr>
        <w:spacing w:after="0"/>
        <w:ind w:left="720"/>
        <w:contextualSpacing/>
        <w:rPr>
          <w:rFonts w:eastAsia="Calibri" w:cs="Arial"/>
          <w:color w:val="auto"/>
          <w:lang w:eastAsia="en-US"/>
        </w:rPr>
      </w:pPr>
    </w:p>
    <w:p w:rsidR="004E49B8" w:rsidRDefault="004E49B8" w:rsidP="00F56EAE">
      <w:pPr>
        <w:pStyle w:val="ListParagraph"/>
      </w:pPr>
      <w:r>
        <w:t>Given the scale of change impacting on housing, planning and welfare reform, it is considered more dynamic to produce a 3-year strategy, rather than one for 5 years</w:t>
      </w:r>
      <w:r w:rsidR="006F4122">
        <w:t xml:space="preserve">. The Action Plan (Appendix B to the strategy) covers the first 12-18 months and both the strategy and action plan will be reviewed mid-point of the strategy term. </w:t>
      </w:r>
      <w:r>
        <w:t>This will ensure that the actions</w:t>
      </w:r>
      <w:r w:rsidR="006F4122">
        <w:t xml:space="preserve"> going forward continue to be </w:t>
      </w:r>
      <w:r>
        <w:t xml:space="preserve">relevant and responsive to change.  </w:t>
      </w:r>
    </w:p>
    <w:p w:rsidR="00591225" w:rsidRDefault="00591225" w:rsidP="00F56EAE">
      <w:pPr>
        <w:pStyle w:val="bParagraphtext"/>
        <w:numPr>
          <w:ilvl w:val="0"/>
          <w:numId w:val="0"/>
        </w:numPr>
        <w:spacing w:after="0"/>
        <w:ind w:left="426" w:hanging="426"/>
      </w:pPr>
    </w:p>
    <w:p w:rsidR="00EB0186" w:rsidRDefault="00EB0186" w:rsidP="00F56EAE">
      <w:pPr>
        <w:pStyle w:val="ListParagraph"/>
        <w:spacing w:after="0"/>
      </w:pPr>
      <w:r>
        <w:lastRenderedPageBreak/>
        <w:t>Considerable progress has been made over the term of the last three strategies with a number of achievements</w:t>
      </w:r>
      <w:r w:rsidR="00CA2689">
        <w:t xml:space="preserve"> identified</w:t>
      </w:r>
      <w:r>
        <w:t>.  A review of these is contained in the new strategy, and includes</w:t>
      </w:r>
      <w:r w:rsidR="00300063">
        <w:t xml:space="preserve"> the following:</w:t>
      </w:r>
    </w:p>
    <w:p w:rsidR="00EB0186" w:rsidRDefault="00CA2689" w:rsidP="00CA2689">
      <w:pPr>
        <w:pStyle w:val="ListParagraph"/>
        <w:numPr>
          <w:ilvl w:val="0"/>
          <w:numId w:val="0"/>
        </w:numPr>
        <w:ind w:left="426" w:hanging="426"/>
      </w:pPr>
      <w:r>
        <w:tab/>
      </w:r>
      <w:r w:rsidR="00EB0186">
        <w:t>The Council has:</w:t>
      </w:r>
    </w:p>
    <w:p w:rsidR="00EB0186" w:rsidRDefault="00EB0186" w:rsidP="00300063">
      <w:pPr>
        <w:numPr>
          <w:ilvl w:val="0"/>
          <w:numId w:val="39"/>
        </w:numPr>
      </w:pPr>
      <w:r>
        <w:t xml:space="preserve">Set up </w:t>
      </w:r>
      <w:proofErr w:type="gramStart"/>
      <w:r>
        <w:t>a Housing</w:t>
      </w:r>
      <w:proofErr w:type="gramEnd"/>
      <w:r>
        <w:t xml:space="preserve"> Company to facilitate the delivery of more</w:t>
      </w:r>
      <w:r w:rsidR="00397BB3">
        <w:t xml:space="preserve"> affordable</w:t>
      </w:r>
      <w:r>
        <w:t xml:space="preserve"> homes and agreed to inves</w:t>
      </w:r>
      <w:r w:rsidR="004907CF">
        <w:t>t</w:t>
      </w:r>
      <w:r>
        <w:t xml:space="preserve"> £61m as a loan to facilitate this</w:t>
      </w:r>
      <w:r w:rsidR="00300063">
        <w:t>.</w:t>
      </w:r>
      <w:r w:rsidRPr="00EB0186">
        <w:t xml:space="preserve"> </w:t>
      </w:r>
    </w:p>
    <w:p w:rsidR="004907CF" w:rsidRDefault="004907CF" w:rsidP="00300063">
      <w:pPr>
        <w:numPr>
          <w:ilvl w:val="0"/>
          <w:numId w:val="39"/>
        </w:numPr>
      </w:pPr>
      <w:r>
        <w:t>Continued to drive forward housing supply at Barton Park, with more schemes being planned at Oxpens</w:t>
      </w:r>
      <w:r w:rsidR="00300063">
        <w:t>,</w:t>
      </w:r>
      <w:r>
        <w:t xml:space="preserve"> the Northern Gateway</w:t>
      </w:r>
      <w:r w:rsidR="00300063">
        <w:t>,</w:t>
      </w:r>
      <w:r>
        <w:t xml:space="preserve"> and through estate regeneration</w:t>
      </w:r>
      <w:r w:rsidR="00300063">
        <w:t>.</w:t>
      </w:r>
    </w:p>
    <w:p w:rsidR="00EB0186" w:rsidRDefault="00EB0186" w:rsidP="00300063">
      <w:pPr>
        <w:numPr>
          <w:ilvl w:val="0"/>
          <w:numId w:val="39"/>
        </w:numPr>
      </w:pPr>
      <w:r>
        <w:t>Invested £10m to acquire temporary accommodation units for homeless households</w:t>
      </w:r>
      <w:r w:rsidR="00300063">
        <w:t>.</w:t>
      </w:r>
    </w:p>
    <w:p w:rsidR="004907CF" w:rsidRDefault="00EB0186" w:rsidP="00300063">
      <w:pPr>
        <w:numPr>
          <w:ilvl w:val="0"/>
          <w:numId w:val="39"/>
        </w:numPr>
      </w:pPr>
      <w:r>
        <w:t>Invested £5m in the Real Lettings scheme, to create a total fund in excess of £10m to acquire</w:t>
      </w:r>
      <w:r w:rsidR="004907CF">
        <w:t xml:space="preserve"> local property for rent to homeless families at affordable rents</w:t>
      </w:r>
      <w:r w:rsidR="00300063">
        <w:t>.</w:t>
      </w:r>
    </w:p>
    <w:p w:rsidR="00EB0186" w:rsidRDefault="00300063" w:rsidP="00300063">
      <w:pPr>
        <w:numPr>
          <w:ilvl w:val="0"/>
          <w:numId w:val="39"/>
        </w:numPr>
      </w:pPr>
      <w:r>
        <w:t xml:space="preserve">Undertaken works as part of a </w:t>
      </w:r>
      <w:r w:rsidR="004907CF">
        <w:t>£20m</w:t>
      </w:r>
      <w:r>
        <w:t xml:space="preserve"> investment to </w:t>
      </w:r>
      <w:r w:rsidR="004907CF">
        <w:t xml:space="preserve">refurbish the </w:t>
      </w:r>
      <w:r w:rsidR="00397BB3">
        <w:t>C</w:t>
      </w:r>
      <w:r w:rsidR="004907CF">
        <w:t>ity’s tower blocks</w:t>
      </w:r>
      <w:r>
        <w:t>.</w:t>
      </w:r>
    </w:p>
    <w:p w:rsidR="00EB0186" w:rsidRDefault="00300063" w:rsidP="00300063">
      <w:pPr>
        <w:numPr>
          <w:ilvl w:val="0"/>
          <w:numId w:val="39"/>
        </w:numPr>
      </w:pPr>
      <w:r>
        <w:t xml:space="preserve">Been awarded </w:t>
      </w:r>
      <w:r w:rsidR="00EB0186">
        <w:t>the “</w:t>
      </w:r>
      <w:r w:rsidR="00EB0186" w:rsidRPr="00420633">
        <w:t>Gold</w:t>
      </w:r>
      <w:r w:rsidR="00EB0186">
        <w:t xml:space="preserve"> Standard” in Housing and Homelessness Prevention</w:t>
      </w:r>
      <w:r>
        <w:t xml:space="preserve"> </w:t>
      </w:r>
      <w:r w:rsidR="00EB0186">
        <w:t xml:space="preserve">by the National Practitioner Support Service, being </w:t>
      </w:r>
      <w:r w:rsidR="004907CF">
        <w:t xml:space="preserve">one of </w:t>
      </w:r>
      <w:r w:rsidR="00EB0186">
        <w:t xml:space="preserve">only 11 local authorities in England, to </w:t>
      </w:r>
      <w:r>
        <w:t>achieve this</w:t>
      </w:r>
      <w:r w:rsidR="00D44A31">
        <w:t xml:space="preserve"> standard</w:t>
      </w:r>
      <w:r w:rsidR="009548DC">
        <w:t xml:space="preserve"> by July 2017</w:t>
      </w:r>
      <w:r>
        <w:t>.</w:t>
      </w:r>
    </w:p>
    <w:p w:rsidR="00EB0186" w:rsidRDefault="004907CF" w:rsidP="00D44A31">
      <w:pPr>
        <w:numPr>
          <w:ilvl w:val="0"/>
          <w:numId w:val="39"/>
        </w:numPr>
        <w:spacing w:after="0"/>
      </w:pPr>
      <w:r>
        <w:t>S</w:t>
      </w:r>
      <w:r w:rsidR="00EB0186">
        <w:t>uccessfully led on a funding bid t</w:t>
      </w:r>
      <w:r>
        <w:t xml:space="preserve">o </w:t>
      </w:r>
      <w:r w:rsidR="00EB0186">
        <w:t>secure Government funding of £790,000 for a</w:t>
      </w:r>
      <w:r>
        <w:t xml:space="preserve"> 2</w:t>
      </w:r>
      <w:r w:rsidR="00D44A31">
        <w:t>-</w:t>
      </w:r>
      <w:r>
        <w:t>year</w:t>
      </w:r>
      <w:r w:rsidR="00EB0186">
        <w:t xml:space="preserve"> countywide pilot “Trailblazer” scheme focussed on innovation in homelessness prevention. </w:t>
      </w:r>
    </w:p>
    <w:p w:rsidR="00EB0186" w:rsidRDefault="00EB0186" w:rsidP="00D44A31">
      <w:pPr>
        <w:spacing w:after="0"/>
      </w:pPr>
    </w:p>
    <w:p w:rsidR="00EB0186" w:rsidRDefault="006F4122" w:rsidP="00D44A31">
      <w:pPr>
        <w:pStyle w:val="ListParagraph"/>
        <w:spacing w:after="0"/>
        <w:ind w:left="425"/>
      </w:pPr>
      <w:r>
        <w:t>Work</w:t>
      </w:r>
      <w:r w:rsidR="004E49B8">
        <w:t xml:space="preserve"> is</w:t>
      </w:r>
      <w:r>
        <w:t xml:space="preserve"> underway</w:t>
      </w:r>
      <w:r w:rsidR="004E49B8">
        <w:t xml:space="preserve"> to address the significant </w:t>
      </w:r>
      <w:r w:rsidR="00EB0186">
        <w:t>demands and challenges for the City Council in delivering more housing and effective, efficient housing and homelessness services</w:t>
      </w:r>
      <w:r w:rsidR="004E49B8">
        <w:t xml:space="preserve">. </w:t>
      </w:r>
      <w:r>
        <w:t>To support this, f</w:t>
      </w:r>
      <w:r w:rsidR="00EB0186">
        <w:t xml:space="preserve">urther reports are submitted to this City Executive Board meeting </w:t>
      </w:r>
      <w:r w:rsidR="004E49B8">
        <w:t>to take forward a</w:t>
      </w:r>
      <w:r w:rsidR="00EB0186">
        <w:t xml:space="preserve"> range of initiatives that are already being driven forward, including securing more affordable accommodation; improving homelessness prevention; and commissioning more services for rough sleepers and vulnerable homeless people.</w:t>
      </w:r>
    </w:p>
    <w:p w:rsidR="00506C17" w:rsidRPr="001356F1" w:rsidRDefault="00506C17" w:rsidP="00506C17">
      <w:pPr>
        <w:pStyle w:val="Heading1"/>
      </w:pPr>
      <w:r>
        <w:t xml:space="preserve">Development </w:t>
      </w:r>
      <w:r w:rsidR="00591225">
        <w:t xml:space="preserve">the </w:t>
      </w:r>
      <w:r>
        <w:t>strategy</w:t>
      </w:r>
    </w:p>
    <w:p w:rsidR="005A1C58" w:rsidRDefault="00591225" w:rsidP="00F56EAE">
      <w:pPr>
        <w:pStyle w:val="bParagraphtext"/>
        <w:spacing w:after="0"/>
        <w:ind w:left="357"/>
      </w:pPr>
      <w:r>
        <w:t>W</w:t>
      </w:r>
      <w:r w:rsidR="005A1C58">
        <w:t xml:space="preserve">ork </w:t>
      </w:r>
      <w:r>
        <w:t xml:space="preserve">on this strategy, across many service areas, </w:t>
      </w:r>
      <w:r w:rsidR="005A1C58">
        <w:t>has been underpinned by</w:t>
      </w:r>
      <w:r w:rsidR="005A1C58" w:rsidRPr="005A1C58">
        <w:t xml:space="preserve"> </w:t>
      </w:r>
      <w:r w:rsidR="00997381">
        <w:t xml:space="preserve">a comprehensive </w:t>
      </w:r>
      <w:r w:rsidR="00997381" w:rsidRPr="000006D0">
        <w:t>evidence base (Appendix A</w:t>
      </w:r>
      <w:r w:rsidRPr="000006D0">
        <w:t xml:space="preserve"> to the Strategy</w:t>
      </w:r>
      <w:r w:rsidR="00997381" w:rsidRPr="000006D0">
        <w:t>) and stakeholder feedback</w:t>
      </w:r>
      <w:r w:rsidR="005A1C58">
        <w:t xml:space="preserve"> </w:t>
      </w:r>
      <w:r w:rsidR="00997381">
        <w:t xml:space="preserve">which was </w:t>
      </w:r>
      <w:r w:rsidR="005A1C58">
        <w:t xml:space="preserve">received during </w:t>
      </w:r>
      <w:r w:rsidR="00397BB3">
        <w:t xml:space="preserve">initial </w:t>
      </w:r>
      <w:r w:rsidR="005A1C58">
        <w:t>consultation workshops</w:t>
      </w:r>
      <w:r w:rsidR="000B5648">
        <w:t xml:space="preserve"> run</w:t>
      </w:r>
      <w:r w:rsidR="00997381">
        <w:t xml:space="preserve"> in March and April 2017</w:t>
      </w:r>
      <w:r w:rsidR="005A1C58">
        <w:t xml:space="preserve">. The draft </w:t>
      </w:r>
      <w:r w:rsidR="00997381">
        <w:t xml:space="preserve">Housing and Homelessness Strategy </w:t>
      </w:r>
      <w:r w:rsidR="005A1C58" w:rsidRPr="005A1C58">
        <w:t xml:space="preserve">runs in parallel to the work on the City Council’s Local Plan 2036.  </w:t>
      </w:r>
    </w:p>
    <w:p w:rsidR="00F56EAE" w:rsidRPr="005A1C58" w:rsidRDefault="00F56EAE" w:rsidP="00F56EAE">
      <w:pPr>
        <w:pStyle w:val="bParagraphtext"/>
        <w:numPr>
          <w:ilvl w:val="0"/>
          <w:numId w:val="0"/>
        </w:numPr>
        <w:spacing w:after="0"/>
        <w:ind w:left="357"/>
      </w:pPr>
    </w:p>
    <w:p w:rsidR="002E7918" w:rsidRDefault="005A1C58" w:rsidP="00F56EAE">
      <w:pPr>
        <w:pStyle w:val="bParagraphtext"/>
        <w:spacing w:after="0"/>
        <w:ind w:left="357"/>
      </w:pPr>
      <w:r>
        <w:t>To meet the requirements of the Homelessness Act 2002, the City Cou</w:t>
      </w:r>
      <w:r w:rsidR="00997381">
        <w:t xml:space="preserve">ncil is required to carry out public and stakeholder consultation on the </w:t>
      </w:r>
      <w:r w:rsidR="00935B56">
        <w:t xml:space="preserve">draft </w:t>
      </w:r>
      <w:r w:rsidR="00997381">
        <w:t>strategy and its associated action plan (See Appendix B</w:t>
      </w:r>
      <w:r w:rsidR="00751270">
        <w:t>)</w:t>
      </w:r>
      <w:r w:rsidR="00997381">
        <w:t>. Subject to City Executive Board approval, consultation will run for a period of 6 weeks from 21 September to 3 November 2017</w:t>
      </w:r>
      <w:r w:rsidR="00D95844">
        <w:t>. C</w:t>
      </w:r>
      <w:r w:rsidR="00935B56">
        <w:t xml:space="preserve">onsultation responses will be used to inform </w:t>
      </w:r>
      <w:r w:rsidR="00D95844">
        <w:t xml:space="preserve">any </w:t>
      </w:r>
      <w:r w:rsidR="00935B56">
        <w:t xml:space="preserve">changes to the strategy prior to an amended version being presented to the City Executive Board in January 2018 and Full Council at its </w:t>
      </w:r>
      <w:r w:rsidR="00751270">
        <w:t xml:space="preserve">next </w:t>
      </w:r>
      <w:r w:rsidR="00935B56">
        <w:t>meeting thereafter. To support the consultation process, an</w:t>
      </w:r>
      <w:r w:rsidR="00997381">
        <w:t xml:space="preserve"> appropriate communication and consultation plan has been designed to </w:t>
      </w:r>
      <w:r w:rsidR="00935B56">
        <w:t>make use of a</w:t>
      </w:r>
      <w:r w:rsidR="00997381">
        <w:t xml:space="preserve"> range of media formats </w:t>
      </w:r>
      <w:r w:rsidR="00D95844">
        <w:t xml:space="preserve">with the aim </w:t>
      </w:r>
      <w:r w:rsidR="00935B56">
        <w:t xml:space="preserve">to encourage the </w:t>
      </w:r>
      <w:r w:rsidR="00997381">
        <w:t xml:space="preserve">public and stakeholders to </w:t>
      </w:r>
      <w:r w:rsidR="00935B56">
        <w:t xml:space="preserve">get </w:t>
      </w:r>
      <w:r w:rsidR="00997381">
        <w:t>involved.</w:t>
      </w:r>
    </w:p>
    <w:p w:rsidR="002E7918" w:rsidRDefault="002E7918" w:rsidP="002E7918">
      <w:pPr>
        <w:pStyle w:val="bParagraphtext"/>
        <w:numPr>
          <w:ilvl w:val="0"/>
          <w:numId w:val="0"/>
        </w:numPr>
        <w:spacing w:after="0"/>
        <w:ind w:left="357"/>
      </w:pPr>
    </w:p>
    <w:p w:rsidR="00BA41A4" w:rsidRPr="00CE0D48" w:rsidRDefault="0094270A" w:rsidP="00386B2D">
      <w:pPr>
        <w:pStyle w:val="bParagraphtext"/>
        <w:spacing w:after="0"/>
        <w:ind w:left="357" w:hanging="357"/>
        <w:rPr>
          <w:color w:val="auto"/>
        </w:rPr>
      </w:pPr>
      <w:r w:rsidRPr="00CE0D48">
        <w:rPr>
          <w:color w:val="auto"/>
        </w:rPr>
        <w:t xml:space="preserve">As part of the consultation process, </w:t>
      </w:r>
      <w:r w:rsidR="00042B2F" w:rsidRPr="00CE0D48">
        <w:rPr>
          <w:color w:val="auto"/>
        </w:rPr>
        <w:t xml:space="preserve">the City Council will convene a meeting of </w:t>
      </w:r>
      <w:r w:rsidR="00CE0D48" w:rsidRPr="00CE0D48">
        <w:rPr>
          <w:color w:val="auto"/>
        </w:rPr>
        <w:t xml:space="preserve">key </w:t>
      </w:r>
      <w:r w:rsidR="00042B2F" w:rsidRPr="00CE0D48">
        <w:rPr>
          <w:color w:val="auto"/>
        </w:rPr>
        <w:t>stakeholders to</w:t>
      </w:r>
      <w:r w:rsidR="00CE0D48" w:rsidRPr="00CE0D48">
        <w:rPr>
          <w:color w:val="auto"/>
        </w:rPr>
        <w:t xml:space="preserve"> assess the causes and potential remedies for the rising levels of street homelessness</w:t>
      </w:r>
      <w:r w:rsidR="00F12609">
        <w:rPr>
          <w:color w:val="auto"/>
        </w:rPr>
        <w:t>, including rough sleepers with no local connection to the City.</w:t>
      </w:r>
      <w:r w:rsidRPr="00CE0D48">
        <w:rPr>
          <w:color w:val="auto"/>
        </w:rPr>
        <w:t xml:space="preserve"> </w:t>
      </w:r>
    </w:p>
    <w:p w:rsidR="00F56EAE" w:rsidRDefault="00F56EAE" w:rsidP="00F56EAE">
      <w:pPr>
        <w:pStyle w:val="bParagraphtext"/>
        <w:numPr>
          <w:ilvl w:val="0"/>
          <w:numId w:val="0"/>
        </w:numPr>
        <w:spacing w:after="0"/>
        <w:ind w:left="357"/>
      </w:pPr>
    </w:p>
    <w:p w:rsidR="00E62A91" w:rsidRPr="001356F1" w:rsidRDefault="00E62A91" w:rsidP="00935B56">
      <w:pPr>
        <w:pStyle w:val="bParagraphtext"/>
      </w:pPr>
      <w:r>
        <w:t>Consultation on this strategy will be happening concurrently with the M</w:t>
      </w:r>
      <w:r w:rsidR="006F4122">
        <w:t xml:space="preserve">edium </w:t>
      </w:r>
      <w:r>
        <w:t>T</w:t>
      </w:r>
      <w:r w:rsidR="006F4122">
        <w:t xml:space="preserve">erm </w:t>
      </w:r>
      <w:r>
        <w:t>F</w:t>
      </w:r>
      <w:r w:rsidR="006F4122">
        <w:t xml:space="preserve">inancial </w:t>
      </w:r>
      <w:r>
        <w:t>P</w:t>
      </w:r>
      <w:r w:rsidR="006F4122">
        <w:t>lan</w:t>
      </w:r>
      <w:r>
        <w:t xml:space="preserve"> </w:t>
      </w:r>
      <w:r w:rsidR="006F4122">
        <w:t xml:space="preserve">(MTFP) </w:t>
      </w:r>
      <w:r>
        <w:t>review process and any financial commitments in the final Strategy will have been agreed as part of the budget setting process.</w:t>
      </w:r>
    </w:p>
    <w:p w:rsidR="0040736F" w:rsidRPr="001356F1" w:rsidRDefault="002329CF" w:rsidP="004A6D2F">
      <w:pPr>
        <w:pStyle w:val="Heading1"/>
      </w:pPr>
      <w:r w:rsidRPr="001356F1">
        <w:t>Financial implications</w:t>
      </w:r>
    </w:p>
    <w:p w:rsidR="00E87F7A" w:rsidRPr="001356F1" w:rsidRDefault="002E7918" w:rsidP="000B5648">
      <w:pPr>
        <w:pStyle w:val="ListParagraph"/>
        <w:numPr>
          <w:ilvl w:val="0"/>
          <w:numId w:val="0"/>
        </w:numPr>
        <w:ind w:left="426" w:hanging="426"/>
      </w:pPr>
      <w:r>
        <w:t>14</w:t>
      </w:r>
      <w:r w:rsidR="000B5648">
        <w:t>.</w:t>
      </w:r>
      <w:r w:rsidR="000B5648">
        <w:tab/>
      </w:r>
      <w:r w:rsidR="00D32756">
        <w:t xml:space="preserve">Chapter </w:t>
      </w:r>
      <w:r w:rsidR="00F56EAE">
        <w:t>9</w:t>
      </w:r>
      <w:r w:rsidR="00D32756" w:rsidRPr="000006D0">
        <w:t xml:space="preserve"> </w:t>
      </w:r>
      <w:r w:rsidR="00D943CF" w:rsidRPr="000006D0">
        <w:t>o</w:t>
      </w:r>
      <w:r w:rsidR="00D943CF">
        <w:t xml:space="preserve">f the draft strategy </w:t>
      </w:r>
      <w:r w:rsidR="00D32756">
        <w:t xml:space="preserve">provides more detail of the potential and available funding to help deliver the strategy and action plan (Appendix B). Any </w:t>
      </w:r>
      <w:r w:rsidR="00D943CF">
        <w:t xml:space="preserve">new </w:t>
      </w:r>
      <w:r w:rsidR="00D32756">
        <w:t xml:space="preserve">work streams arising from the </w:t>
      </w:r>
      <w:r w:rsidR="00751270">
        <w:t>a</w:t>
      </w:r>
      <w:r w:rsidR="00D32756">
        <w:t xml:space="preserve">ction </w:t>
      </w:r>
      <w:r w:rsidR="00751270">
        <w:t>p</w:t>
      </w:r>
      <w:r w:rsidR="00D32756">
        <w:t xml:space="preserve">lan will be considered in light of available resources and funding outlined in the </w:t>
      </w:r>
      <w:r w:rsidR="006F4122">
        <w:t>City Council’s MTFP</w:t>
      </w:r>
      <w:r w:rsidR="00D32756">
        <w:t>. Should additional resources or funding be required, this will</w:t>
      </w:r>
      <w:r w:rsidR="00D943CF">
        <w:t xml:space="preserve"> need to be secured as a </w:t>
      </w:r>
      <w:r w:rsidR="00D32756">
        <w:t>separate City Executive Board report.</w:t>
      </w:r>
    </w:p>
    <w:p w:rsidR="0040736F" w:rsidRPr="001356F1" w:rsidRDefault="00DA614B" w:rsidP="004A6D2F">
      <w:pPr>
        <w:pStyle w:val="Heading1"/>
      </w:pPr>
      <w:r w:rsidRPr="001356F1">
        <w:t>Legal issues</w:t>
      </w:r>
    </w:p>
    <w:p w:rsidR="00E87F7A" w:rsidRPr="001356F1" w:rsidRDefault="002E7918" w:rsidP="000B5648">
      <w:pPr>
        <w:pStyle w:val="ListParagraph"/>
        <w:numPr>
          <w:ilvl w:val="0"/>
          <w:numId w:val="0"/>
        </w:numPr>
        <w:ind w:left="426" w:hanging="426"/>
      </w:pPr>
      <w:r>
        <w:t>15</w:t>
      </w:r>
      <w:r w:rsidR="00F56EAE">
        <w:t>.</w:t>
      </w:r>
      <w:r w:rsidR="000B5648">
        <w:tab/>
      </w:r>
      <w:r w:rsidR="00D32756" w:rsidRPr="00D32756">
        <w:t xml:space="preserve">Under the Homelessness Act 2002, local authorities have a duty to review homelessness in their local area and formulate a homelessness strategy that will address and prevent homelessness (having regard to its current allocations scheme under section 167 of the Housing Act 1996, and its tenancy strategy under section 150 of the Localism Act 2011). Local Authorities are required to consult with the public, partner statutory and non-statutory agencies, and voluntary sector as appropriate in regard to the strategy and its action plan. The strategy must also be reviewed, kept up to date and a new strategy published within 5 years. </w:t>
      </w:r>
      <w:r w:rsidR="00E87F7A" w:rsidRPr="001356F1">
        <w:t xml:space="preserve"> </w:t>
      </w:r>
    </w:p>
    <w:p w:rsidR="002329CF" w:rsidRPr="001356F1" w:rsidRDefault="002329CF" w:rsidP="004A6D2F">
      <w:pPr>
        <w:pStyle w:val="Heading1"/>
      </w:pPr>
      <w:r w:rsidRPr="001356F1">
        <w:t>Level of risk</w:t>
      </w:r>
    </w:p>
    <w:p w:rsidR="00BC69A4" w:rsidRPr="001356F1" w:rsidRDefault="002E7918" w:rsidP="000B5648">
      <w:pPr>
        <w:pStyle w:val="ListParagraph"/>
        <w:numPr>
          <w:ilvl w:val="0"/>
          <w:numId w:val="0"/>
        </w:numPr>
        <w:ind w:left="426" w:hanging="426"/>
      </w:pPr>
      <w:r>
        <w:t>16</w:t>
      </w:r>
      <w:r w:rsidR="000B5648">
        <w:t>.</w:t>
      </w:r>
      <w:r w:rsidR="000B5648">
        <w:tab/>
      </w:r>
      <w:r w:rsidR="0086116A">
        <w:t xml:space="preserve">If the draft Housing and Homelessness Strategy 2018-21 is not approved as a draft for public consultation, this will result in a delay in the adoption of a new/replacement Homelessness Strategy when the existing </w:t>
      </w:r>
      <w:r w:rsidR="006F4122">
        <w:t>one</w:t>
      </w:r>
      <w:r w:rsidR="0086116A">
        <w:t xml:space="preserve"> expires early in 2018. This may result in the City Council being unable to meet its legislative obligations under the H</w:t>
      </w:r>
      <w:r w:rsidR="0086116A" w:rsidRPr="0086116A">
        <w:t>ousing Act 2002</w:t>
      </w:r>
      <w:r w:rsidR="0086116A">
        <w:t xml:space="preserve">. See Appendix </w:t>
      </w:r>
      <w:r w:rsidR="00751270">
        <w:t>2</w:t>
      </w:r>
      <w:r w:rsidR="0086116A">
        <w:t xml:space="preserve">: </w:t>
      </w:r>
      <w:r w:rsidR="00151888" w:rsidRPr="001356F1">
        <w:t>R</w:t>
      </w:r>
      <w:r w:rsidR="002329CF" w:rsidRPr="001356F1">
        <w:t xml:space="preserve">isk </w:t>
      </w:r>
      <w:r w:rsidR="00151888" w:rsidRPr="001356F1">
        <w:t>R</w:t>
      </w:r>
      <w:r w:rsidR="0093067A" w:rsidRPr="001356F1">
        <w:t>egister.</w:t>
      </w:r>
    </w:p>
    <w:p w:rsidR="002329CF" w:rsidRPr="001356F1" w:rsidRDefault="002329CF" w:rsidP="0050321C">
      <w:pPr>
        <w:pStyle w:val="Heading1"/>
      </w:pPr>
      <w:r w:rsidRPr="001356F1">
        <w:t xml:space="preserve">Equalities impact </w:t>
      </w:r>
    </w:p>
    <w:p w:rsidR="002329CF" w:rsidRPr="001356F1" w:rsidRDefault="002E7918" w:rsidP="000B5648">
      <w:pPr>
        <w:pStyle w:val="ListParagraph"/>
        <w:numPr>
          <w:ilvl w:val="0"/>
          <w:numId w:val="0"/>
        </w:numPr>
        <w:ind w:left="426" w:hanging="426"/>
      </w:pPr>
      <w:r>
        <w:t>17</w:t>
      </w:r>
      <w:r w:rsidR="000B5648">
        <w:t>.</w:t>
      </w:r>
      <w:r w:rsidR="000B5648">
        <w:tab/>
      </w:r>
      <w:r w:rsidR="0086116A">
        <w:t xml:space="preserve">The </w:t>
      </w:r>
      <w:r w:rsidR="0093067A" w:rsidRPr="001356F1">
        <w:t>Equalities Impact Assessment</w:t>
      </w:r>
      <w:r w:rsidR="002329CF" w:rsidRPr="001356F1">
        <w:t xml:space="preserve"> </w:t>
      </w:r>
      <w:r w:rsidR="0086116A">
        <w:t xml:space="preserve">initial screening form is attached as Appendix </w:t>
      </w:r>
      <w:r w:rsidR="00751270">
        <w:t>3</w:t>
      </w:r>
      <w:r w:rsidR="00E87F7A" w:rsidRPr="001356F1">
        <w:t>.</w:t>
      </w:r>
      <w:r w:rsidR="0086116A">
        <w:t xml:space="preserve"> No adverse equality implications </w:t>
      </w:r>
      <w:r w:rsidR="006F4122">
        <w:t>are evident at this stage. Work</w:t>
      </w:r>
      <w:r w:rsidR="0086116A">
        <w:t xml:space="preserve"> streams arising </w:t>
      </w:r>
      <w:r w:rsidR="000B5648">
        <w:t>f</w:t>
      </w:r>
      <w:r w:rsidR="0086116A">
        <w:t>rom the</w:t>
      </w:r>
      <w:r w:rsidR="000B5648">
        <w:t xml:space="preserve"> a</w:t>
      </w:r>
      <w:r w:rsidR="0086116A">
        <w:t xml:space="preserve">ction </w:t>
      </w:r>
      <w:r w:rsidR="000B5648">
        <w:t>p</w:t>
      </w:r>
      <w:r w:rsidR="0086116A">
        <w:t xml:space="preserve">lan </w:t>
      </w:r>
      <w:r w:rsidR="00A06EEA">
        <w:t>may</w:t>
      </w:r>
      <w:r w:rsidR="0086116A">
        <w:t xml:space="preserve"> require separate equality impact assessments prior to implementation. </w:t>
      </w:r>
    </w:p>
    <w:p w:rsidR="00E87F7A" w:rsidRPr="001356F1" w:rsidRDefault="00E87F7A" w:rsidP="00E87F7A">
      <w:pPr>
        <w:pStyle w:val="Heading1"/>
      </w:pPr>
      <w:r w:rsidRPr="001356F1">
        <w:t>Conclusion</w:t>
      </w:r>
    </w:p>
    <w:p w:rsidR="00E206D6" w:rsidRPr="001356F1" w:rsidRDefault="002E7918" w:rsidP="000B5648">
      <w:pPr>
        <w:pStyle w:val="ListParagraph"/>
        <w:numPr>
          <w:ilvl w:val="0"/>
          <w:numId w:val="0"/>
        </w:numPr>
        <w:ind w:left="426" w:hanging="426"/>
      </w:pPr>
      <w:r>
        <w:t>18</w:t>
      </w:r>
      <w:r w:rsidR="000B5648">
        <w:t>.</w:t>
      </w:r>
      <w:r w:rsidR="000B5648">
        <w:tab/>
      </w:r>
      <w:r w:rsidR="008D059E">
        <w:t xml:space="preserve">A new and combined Housing and Homelessness Strategy 2018-21 (that includes a strategy for bringing empty properties back into use) will enable the </w:t>
      </w:r>
      <w:r w:rsidR="0086116A">
        <w:t>City Council</w:t>
      </w:r>
      <w:r w:rsidR="008D059E">
        <w:t xml:space="preserve"> to continue meeting its legislative obligations </w:t>
      </w:r>
      <w:r w:rsidR="00266118">
        <w:t xml:space="preserve">from 2018 </w:t>
      </w:r>
      <w:r w:rsidR="008D059E">
        <w:t xml:space="preserve">and </w:t>
      </w:r>
      <w:r w:rsidR="0086116A">
        <w:t>ha</w:t>
      </w:r>
      <w:r w:rsidR="00751270">
        <w:t>ve</w:t>
      </w:r>
      <w:r w:rsidR="0086116A">
        <w:t xml:space="preserve"> an effective </w:t>
      </w:r>
      <w:r w:rsidR="008D059E">
        <w:t xml:space="preserve">strategy in place to direct housing delivery and services going forward over the next three years. </w:t>
      </w:r>
    </w:p>
    <w:p w:rsidR="00D44A31" w:rsidRDefault="00D44A31" w:rsidP="004A6D2F"/>
    <w:p w:rsidR="00386B2D" w:rsidRDefault="00386B2D" w:rsidP="004A6D2F"/>
    <w:p w:rsidR="00386B2D" w:rsidRPr="001356F1" w:rsidRDefault="00386B2D"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7E459E" w:rsidP="007E459E">
            <w:r>
              <w:t xml:space="preserve">Frances Evans </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751270" w:rsidP="007E459E">
            <w:r>
              <w:t>Strategy &amp; Service D</w:t>
            </w:r>
            <w:r w:rsidR="007E459E">
              <w:t>evelopment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7E459E" w:rsidP="007E459E">
            <w:r>
              <w:t>Housing &amp; Property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7E459E">
            <w:r w:rsidRPr="001356F1">
              <w:t xml:space="preserve">01865 </w:t>
            </w:r>
            <w:r w:rsidR="007E459E">
              <w:t>252062</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7E459E" w:rsidRPr="001356F1" w:rsidRDefault="0033612A" w:rsidP="007E459E">
            <w:pPr>
              <w:rPr>
                <w:rStyle w:val="Hyperlink"/>
                <w:color w:val="000000"/>
              </w:rPr>
            </w:pPr>
            <w:hyperlink r:id="rId9" w:history="1">
              <w:r w:rsidR="007E459E" w:rsidRPr="00613D74">
                <w:rPr>
                  <w:rStyle w:val="Hyperlink"/>
                </w:rPr>
                <w:t>fevans@oxford.gov.uk</w:t>
              </w:r>
            </w:hyperlink>
            <w:r w:rsidR="007E459E">
              <w:rPr>
                <w:rStyle w:val="Hyperlink"/>
                <w:color w:val="000000"/>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386B2D" w:rsidRDefault="00182B81" w:rsidP="006E72BC">
            <w:r w:rsidRPr="001356F1">
              <w:rPr>
                <w:rStyle w:val="Firstpagetablebold"/>
              </w:rPr>
              <w:t xml:space="preserve">Background Papers: </w:t>
            </w:r>
            <w:r w:rsidR="00386B2D">
              <w:rPr>
                <w:rStyle w:val="Firstpagetablebold"/>
                <w:b w:val="0"/>
              </w:rPr>
              <w:t>None</w:t>
            </w:r>
          </w:p>
        </w:tc>
      </w:tr>
    </w:tbl>
    <w:p w:rsidR="004456DD" w:rsidRPr="009E51FC" w:rsidRDefault="004456DD" w:rsidP="006E72BC"/>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83" w:rsidRDefault="00470883" w:rsidP="004A6D2F">
      <w:r>
        <w:separator/>
      </w:r>
    </w:p>
  </w:endnote>
  <w:endnote w:type="continuationSeparator" w:id="0">
    <w:p w:rsidR="00470883" w:rsidRDefault="0047088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48" w:rsidRDefault="000B5648" w:rsidP="004A6D2F">
    <w:pPr>
      <w:pStyle w:val="Footer"/>
    </w:pPr>
    <w:r>
      <w:t>Do not use a footer or page numbers.</w:t>
    </w:r>
  </w:p>
  <w:p w:rsidR="000B5648" w:rsidRDefault="000B5648" w:rsidP="004A6D2F">
    <w:pPr>
      <w:pStyle w:val="Footer"/>
    </w:pPr>
  </w:p>
  <w:p w:rsidR="000B5648" w:rsidRDefault="000B5648"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48" w:rsidRDefault="000B5648"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83" w:rsidRDefault="00470883" w:rsidP="004A6D2F">
      <w:r>
        <w:separator/>
      </w:r>
    </w:p>
  </w:footnote>
  <w:footnote w:type="continuationSeparator" w:id="0">
    <w:p w:rsidR="00470883" w:rsidRDefault="0047088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48" w:rsidRDefault="00724AA3" w:rsidP="00D5547E">
    <w:pPr>
      <w:pStyle w:val="Header"/>
      <w:jc w:val="right"/>
    </w:pPr>
    <w:r>
      <w:rPr>
        <w:noProof/>
      </w:rPr>
      <w:drawing>
        <wp:inline distT="0" distB="0" distL="0" distR="0">
          <wp:extent cx="838200" cy="112395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5A15DC"/>
    <w:multiLevelType w:val="hybridMultilevel"/>
    <w:tmpl w:val="DF6AA1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9621336"/>
    <w:multiLevelType w:val="hybridMultilevel"/>
    <w:tmpl w:val="5B3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E2537CE"/>
    <w:multiLevelType w:val="multilevel"/>
    <w:tmpl w:val="2370EDC0"/>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2B35F33"/>
    <w:multiLevelType w:val="hybridMultilevel"/>
    <w:tmpl w:val="E67A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9D284E"/>
    <w:multiLevelType w:val="hybridMultilevel"/>
    <w:tmpl w:val="D29C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C541E51"/>
    <w:multiLevelType w:val="hybridMultilevel"/>
    <w:tmpl w:val="8216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ABA5FD8"/>
    <w:multiLevelType w:val="multilevel"/>
    <w:tmpl w:val="43D6D2FA"/>
    <w:numStyleLink w:val="StyleBulletedSymbolsymbolLeft063cmHanging063cm"/>
  </w:abstractNum>
  <w:abstractNum w:abstractNumId="33">
    <w:nsid w:val="5B4A6EDF"/>
    <w:multiLevelType w:val="hybridMultilevel"/>
    <w:tmpl w:val="B60A2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D033A1"/>
    <w:multiLevelType w:val="multilevel"/>
    <w:tmpl w:val="BEE040CC"/>
    <w:lvl w:ilvl="0">
      <w:start w:val="1"/>
      <w:numFmt w:val="bullet"/>
      <w:lvlText w:val=""/>
      <w:lvlJc w:val="left"/>
      <w:pPr>
        <w:ind w:left="720" w:hanging="360"/>
      </w:pPr>
      <w:rPr>
        <w:rFonts w:ascii="Symbol" w:hAnsi="Symbol" w:hint="default"/>
        <w:color w:val="000000"/>
        <w:sz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2A22831"/>
    <w:multiLevelType w:val="multilevel"/>
    <w:tmpl w:val="43D6D2FA"/>
    <w:numStyleLink w:val="StyleBulletedSymbolsymbolLeft063cmHanging063cm"/>
  </w:abstractNum>
  <w:abstractNum w:abstractNumId="37">
    <w:nsid w:val="69925A1B"/>
    <w:multiLevelType w:val="hybridMultilevel"/>
    <w:tmpl w:val="F8FC92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nsid w:val="6A102CE0"/>
    <w:multiLevelType w:val="hybridMultilevel"/>
    <w:tmpl w:val="9B6C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6D412C"/>
    <w:multiLevelType w:val="hybridMultilevel"/>
    <w:tmpl w:val="1132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98365C6"/>
    <w:multiLevelType w:val="multilevel"/>
    <w:tmpl w:val="E67CE66C"/>
    <w:numStyleLink w:val="StyleNumberedLeft0cmHanging075cm"/>
  </w:abstractNum>
  <w:abstractNum w:abstractNumId="44">
    <w:nsid w:val="7A277EB1"/>
    <w:multiLevelType w:val="hybridMultilevel"/>
    <w:tmpl w:val="6128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40"/>
  </w:num>
  <w:num w:numId="3">
    <w:abstractNumId w:val="28"/>
  </w:num>
  <w:num w:numId="4">
    <w:abstractNumId w:val="22"/>
  </w:num>
  <w:num w:numId="5">
    <w:abstractNumId w:val="34"/>
  </w:num>
  <w:num w:numId="6">
    <w:abstractNumId w:val="42"/>
  </w:num>
  <w:num w:numId="7">
    <w:abstractNumId w:val="27"/>
  </w:num>
  <w:num w:numId="8">
    <w:abstractNumId w:val="24"/>
  </w:num>
  <w:num w:numId="9">
    <w:abstractNumId w:val="14"/>
  </w:num>
  <w:num w:numId="10">
    <w:abstractNumId w:val="18"/>
  </w:num>
  <w:num w:numId="11">
    <w:abstractNumId w:val="30"/>
  </w:num>
  <w:num w:numId="12">
    <w:abstractNumId w:val="29"/>
  </w:num>
  <w:num w:numId="13">
    <w:abstractNumId w:val="10"/>
  </w:num>
  <w:num w:numId="14">
    <w:abstractNumId w:val="43"/>
  </w:num>
  <w:num w:numId="15">
    <w:abstractNumId w:val="19"/>
  </w:num>
  <w:num w:numId="16">
    <w:abstractNumId w:val="11"/>
  </w:num>
  <w:num w:numId="17">
    <w:abstractNumId w:val="32"/>
  </w:num>
  <w:num w:numId="18">
    <w:abstractNumId w:val="13"/>
  </w:num>
  <w:num w:numId="19">
    <w:abstractNumId w:val="36"/>
  </w:num>
  <w:num w:numId="20">
    <w:abstractNumId w:val="20"/>
  </w:num>
  <w:num w:numId="21">
    <w:abstractNumId w:val="26"/>
  </w:num>
  <w:num w:numId="22">
    <w:abstractNumId w:val="16"/>
  </w:num>
  <w:num w:numId="23">
    <w:abstractNumId w:val="3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7"/>
  </w:num>
  <w:num w:numId="35">
    <w:abstractNumId w:val="12"/>
  </w:num>
  <w:num w:numId="36">
    <w:abstractNumId w:val="35"/>
  </w:num>
  <w:num w:numId="37">
    <w:abstractNumId w:val="37"/>
  </w:num>
  <w:num w:numId="38">
    <w:abstractNumId w:val="33"/>
  </w:num>
  <w:num w:numId="39">
    <w:abstractNumId w:val="25"/>
  </w:num>
  <w:num w:numId="40">
    <w:abstractNumId w:val="44"/>
  </w:num>
  <w:num w:numId="41">
    <w:abstractNumId w:val="41"/>
  </w:num>
  <w:num w:numId="42">
    <w:abstractNumId w:val="23"/>
  </w:num>
  <w:num w:numId="43">
    <w:abstractNumId w:val="38"/>
  </w:num>
  <w:num w:numId="44">
    <w:abstractNumId w:val="21"/>
  </w:num>
  <w:num w:numId="4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80"/>
    <w:rsid w:val="000006D0"/>
    <w:rsid w:val="000117D4"/>
    <w:rsid w:val="000314D7"/>
    <w:rsid w:val="00042B2F"/>
    <w:rsid w:val="00045F8B"/>
    <w:rsid w:val="00046D2B"/>
    <w:rsid w:val="00056263"/>
    <w:rsid w:val="00064D8A"/>
    <w:rsid w:val="00064F82"/>
    <w:rsid w:val="00066510"/>
    <w:rsid w:val="00077523"/>
    <w:rsid w:val="000B5648"/>
    <w:rsid w:val="000C089F"/>
    <w:rsid w:val="000C3928"/>
    <w:rsid w:val="000C5E8E"/>
    <w:rsid w:val="000E24C6"/>
    <w:rsid w:val="000F4751"/>
    <w:rsid w:val="0010524C"/>
    <w:rsid w:val="00111FB1"/>
    <w:rsid w:val="00113418"/>
    <w:rsid w:val="00122D13"/>
    <w:rsid w:val="001356F1"/>
    <w:rsid w:val="00136994"/>
    <w:rsid w:val="0014128E"/>
    <w:rsid w:val="00151888"/>
    <w:rsid w:val="00170A2D"/>
    <w:rsid w:val="001808BC"/>
    <w:rsid w:val="00182B81"/>
    <w:rsid w:val="0018619D"/>
    <w:rsid w:val="00187187"/>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66118"/>
    <w:rsid w:val="00284F85"/>
    <w:rsid w:val="00290915"/>
    <w:rsid w:val="002A22E2"/>
    <w:rsid w:val="002C64F7"/>
    <w:rsid w:val="002E7918"/>
    <w:rsid w:val="002F41F2"/>
    <w:rsid w:val="00300063"/>
    <w:rsid w:val="00301BF3"/>
    <w:rsid w:val="0030208D"/>
    <w:rsid w:val="00305112"/>
    <w:rsid w:val="00323418"/>
    <w:rsid w:val="003357BF"/>
    <w:rsid w:val="0033612A"/>
    <w:rsid w:val="003467CF"/>
    <w:rsid w:val="00364FAD"/>
    <w:rsid w:val="0036738F"/>
    <w:rsid w:val="0036759C"/>
    <w:rsid w:val="00367AE5"/>
    <w:rsid w:val="00367D71"/>
    <w:rsid w:val="0038150A"/>
    <w:rsid w:val="00386B2D"/>
    <w:rsid w:val="00397BB3"/>
    <w:rsid w:val="003B1283"/>
    <w:rsid w:val="003B6E75"/>
    <w:rsid w:val="003B7DA1"/>
    <w:rsid w:val="003D0379"/>
    <w:rsid w:val="003D2574"/>
    <w:rsid w:val="003D4C59"/>
    <w:rsid w:val="003E7053"/>
    <w:rsid w:val="003F4267"/>
    <w:rsid w:val="00404032"/>
    <w:rsid w:val="00404309"/>
    <w:rsid w:val="0040736F"/>
    <w:rsid w:val="00412C1F"/>
    <w:rsid w:val="00421CB2"/>
    <w:rsid w:val="004268B9"/>
    <w:rsid w:val="00433B96"/>
    <w:rsid w:val="004440F1"/>
    <w:rsid w:val="004456DD"/>
    <w:rsid w:val="00446CDF"/>
    <w:rsid w:val="004521B7"/>
    <w:rsid w:val="00462AB5"/>
    <w:rsid w:val="00465EAF"/>
    <w:rsid w:val="00470883"/>
    <w:rsid w:val="004738C5"/>
    <w:rsid w:val="004907CF"/>
    <w:rsid w:val="00491046"/>
    <w:rsid w:val="004A2AC7"/>
    <w:rsid w:val="004A6D2F"/>
    <w:rsid w:val="004B1161"/>
    <w:rsid w:val="004C2887"/>
    <w:rsid w:val="004D2626"/>
    <w:rsid w:val="004D6E26"/>
    <w:rsid w:val="004D77D3"/>
    <w:rsid w:val="004E01E2"/>
    <w:rsid w:val="004E2959"/>
    <w:rsid w:val="004E49B8"/>
    <w:rsid w:val="004F20EF"/>
    <w:rsid w:val="005024AF"/>
    <w:rsid w:val="0050321C"/>
    <w:rsid w:val="00506C17"/>
    <w:rsid w:val="0054712D"/>
    <w:rsid w:val="00547EF6"/>
    <w:rsid w:val="005570B5"/>
    <w:rsid w:val="00567E18"/>
    <w:rsid w:val="00575F5F"/>
    <w:rsid w:val="00581805"/>
    <w:rsid w:val="00585F76"/>
    <w:rsid w:val="00591225"/>
    <w:rsid w:val="005A01FE"/>
    <w:rsid w:val="005A1C58"/>
    <w:rsid w:val="005A34E4"/>
    <w:rsid w:val="005B17F2"/>
    <w:rsid w:val="005B7FB0"/>
    <w:rsid w:val="005C35A5"/>
    <w:rsid w:val="005C577C"/>
    <w:rsid w:val="005D0621"/>
    <w:rsid w:val="005D1E27"/>
    <w:rsid w:val="005D2A3E"/>
    <w:rsid w:val="005D2B98"/>
    <w:rsid w:val="005D2D6E"/>
    <w:rsid w:val="005D4E02"/>
    <w:rsid w:val="005E022E"/>
    <w:rsid w:val="005E5215"/>
    <w:rsid w:val="005F7F7E"/>
    <w:rsid w:val="0061136D"/>
    <w:rsid w:val="00614693"/>
    <w:rsid w:val="00623C2F"/>
    <w:rsid w:val="006305AF"/>
    <w:rsid w:val="00633578"/>
    <w:rsid w:val="00637068"/>
    <w:rsid w:val="00637780"/>
    <w:rsid w:val="00650811"/>
    <w:rsid w:val="00661D3E"/>
    <w:rsid w:val="00692627"/>
    <w:rsid w:val="006969E7"/>
    <w:rsid w:val="006A3643"/>
    <w:rsid w:val="006C15C4"/>
    <w:rsid w:val="006C2A29"/>
    <w:rsid w:val="006C64CF"/>
    <w:rsid w:val="006D17B1"/>
    <w:rsid w:val="006D4752"/>
    <w:rsid w:val="006D708A"/>
    <w:rsid w:val="006E14C1"/>
    <w:rsid w:val="006E4376"/>
    <w:rsid w:val="006E72BC"/>
    <w:rsid w:val="006F0292"/>
    <w:rsid w:val="006F27FA"/>
    <w:rsid w:val="006F4122"/>
    <w:rsid w:val="006F416B"/>
    <w:rsid w:val="006F439E"/>
    <w:rsid w:val="006F519B"/>
    <w:rsid w:val="00713675"/>
    <w:rsid w:val="00715823"/>
    <w:rsid w:val="00724AA3"/>
    <w:rsid w:val="00731E00"/>
    <w:rsid w:val="00737B93"/>
    <w:rsid w:val="00745BF0"/>
    <w:rsid w:val="00751270"/>
    <w:rsid w:val="007615FE"/>
    <w:rsid w:val="0076655C"/>
    <w:rsid w:val="007742DC"/>
    <w:rsid w:val="00781996"/>
    <w:rsid w:val="00791437"/>
    <w:rsid w:val="007B0C2C"/>
    <w:rsid w:val="007B278E"/>
    <w:rsid w:val="007C461F"/>
    <w:rsid w:val="007C5C23"/>
    <w:rsid w:val="007D128F"/>
    <w:rsid w:val="007D3C15"/>
    <w:rsid w:val="007E2A26"/>
    <w:rsid w:val="007E459E"/>
    <w:rsid w:val="007F2348"/>
    <w:rsid w:val="007F5D26"/>
    <w:rsid w:val="00803F07"/>
    <w:rsid w:val="0080749A"/>
    <w:rsid w:val="00821FB8"/>
    <w:rsid w:val="00822ACD"/>
    <w:rsid w:val="00855C66"/>
    <w:rsid w:val="0086116A"/>
    <w:rsid w:val="00871EE4"/>
    <w:rsid w:val="008A5979"/>
    <w:rsid w:val="008B293F"/>
    <w:rsid w:val="008B7371"/>
    <w:rsid w:val="008D059E"/>
    <w:rsid w:val="008D3DDB"/>
    <w:rsid w:val="008F573F"/>
    <w:rsid w:val="009034EC"/>
    <w:rsid w:val="0093067A"/>
    <w:rsid w:val="00935B56"/>
    <w:rsid w:val="00941C60"/>
    <w:rsid w:val="0094270A"/>
    <w:rsid w:val="00944506"/>
    <w:rsid w:val="009548DC"/>
    <w:rsid w:val="00964356"/>
    <w:rsid w:val="00966D42"/>
    <w:rsid w:val="00971689"/>
    <w:rsid w:val="00973E90"/>
    <w:rsid w:val="00975B07"/>
    <w:rsid w:val="00980B4A"/>
    <w:rsid w:val="00980E98"/>
    <w:rsid w:val="00997381"/>
    <w:rsid w:val="009B6D39"/>
    <w:rsid w:val="009E3101"/>
    <w:rsid w:val="009E3D0A"/>
    <w:rsid w:val="009E51FC"/>
    <w:rsid w:val="009F1D28"/>
    <w:rsid w:val="009F7618"/>
    <w:rsid w:val="00A04D23"/>
    <w:rsid w:val="00A06766"/>
    <w:rsid w:val="00A06EEA"/>
    <w:rsid w:val="00A13765"/>
    <w:rsid w:val="00A21B12"/>
    <w:rsid w:val="00A23F80"/>
    <w:rsid w:val="00A46E98"/>
    <w:rsid w:val="00A6352B"/>
    <w:rsid w:val="00A701B5"/>
    <w:rsid w:val="00A714BB"/>
    <w:rsid w:val="00A92D8F"/>
    <w:rsid w:val="00AB2988"/>
    <w:rsid w:val="00AB7999"/>
    <w:rsid w:val="00AD3292"/>
    <w:rsid w:val="00AE7AF0"/>
    <w:rsid w:val="00B25400"/>
    <w:rsid w:val="00B500CA"/>
    <w:rsid w:val="00B52727"/>
    <w:rsid w:val="00B5777B"/>
    <w:rsid w:val="00B86314"/>
    <w:rsid w:val="00BA1C2E"/>
    <w:rsid w:val="00BA41A4"/>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1280"/>
    <w:rsid w:val="00C82630"/>
    <w:rsid w:val="00C85B4E"/>
    <w:rsid w:val="00C907F7"/>
    <w:rsid w:val="00CA2103"/>
    <w:rsid w:val="00CA2689"/>
    <w:rsid w:val="00CB6B99"/>
    <w:rsid w:val="00CE0D48"/>
    <w:rsid w:val="00CE4C87"/>
    <w:rsid w:val="00CE544A"/>
    <w:rsid w:val="00CF76BB"/>
    <w:rsid w:val="00D11E1C"/>
    <w:rsid w:val="00D160B0"/>
    <w:rsid w:val="00D17F94"/>
    <w:rsid w:val="00D223FC"/>
    <w:rsid w:val="00D26D1E"/>
    <w:rsid w:val="00D32756"/>
    <w:rsid w:val="00D44A31"/>
    <w:rsid w:val="00D474CF"/>
    <w:rsid w:val="00D5547E"/>
    <w:rsid w:val="00D869A1"/>
    <w:rsid w:val="00D943CF"/>
    <w:rsid w:val="00D95844"/>
    <w:rsid w:val="00DA413F"/>
    <w:rsid w:val="00DA4584"/>
    <w:rsid w:val="00DA614B"/>
    <w:rsid w:val="00DC3060"/>
    <w:rsid w:val="00DE0FB2"/>
    <w:rsid w:val="00DE3A54"/>
    <w:rsid w:val="00DF093E"/>
    <w:rsid w:val="00E01F42"/>
    <w:rsid w:val="00E03365"/>
    <w:rsid w:val="00E206D6"/>
    <w:rsid w:val="00E3366E"/>
    <w:rsid w:val="00E52086"/>
    <w:rsid w:val="00E543A6"/>
    <w:rsid w:val="00E60479"/>
    <w:rsid w:val="00E61D73"/>
    <w:rsid w:val="00E62A91"/>
    <w:rsid w:val="00E73684"/>
    <w:rsid w:val="00E818D6"/>
    <w:rsid w:val="00E87F7A"/>
    <w:rsid w:val="00E96BD7"/>
    <w:rsid w:val="00EA0DB1"/>
    <w:rsid w:val="00EA0EE9"/>
    <w:rsid w:val="00EB0186"/>
    <w:rsid w:val="00EC3DC0"/>
    <w:rsid w:val="00ED52CA"/>
    <w:rsid w:val="00ED5860"/>
    <w:rsid w:val="00EE35C9"/>
    <w:rsid w:val="00EE75F4"/>
    <w:rsid w:val="00EF17A7"/>
    <w:rsid w:val="00F05ECA"/>
    <w:rsid w:val="00F07021"/>
    <w:rsid w:val="00F0707C"/>
    <w:rsid w:val="00F12609"/>
    <w:rsid w:val="00F3566E"/>
    <w:rsid w:val="00F375FB"/>
    <w:rsid w:val="00F41AC1"/>
    <w:rsid w:val="00F4367A"/>
    <w:rsid w:val="00F445B1"/>
    <w:rsid w:val="00F45CD4"/>
    <w:rsid w:val="00F56EAE"/>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EB018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EB018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36614898">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evans@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EE756-DDC8-452E-BD96-B5B48580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BC0E5E2B</Template>
  <TotalTime>16</TotalTime>
  <Pages>7</Pages>
  <Words>2338</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15557</CharactersWithSpaces>
  <SharedDoc>false</SharedDoc>
  <HLinks>
    <vt:vector size="6" baseType="variant">
      <vt:variant>
        <vt:i4>4915241</vt:i4>
      </vt:variant>
      <vt:variant>
        <vt:i4>0</vt:i4>
      </vt:variant>
      <vt:variant>
        <vt:i4>0</vt:i4>
      </vt:variant>
      <vt:variant>
        <vt:i4>5</vt:i4>
      </vt:variant>
      <vt:variant>
        <vt:lpwstr>mailto:fevans@oxford.gov.uk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Frances.Evans</dc:creator>
  <cp:lastModifiedBy>JMitchell</cp:lastModifiedBy>
  <cp:revision>7</cp:revision>
  <cp:lastPrinted>2017-07-27T15:52:00Z</cp:lastPrinted>
  <dcterms:created xsi:type="dcterms:W3CDTF">2017-08-31T16:03:00Z</dcterms:created>
  <dcterms:modified xsi:type="dcterms:W3CDTF">2017-09-11T10:31:00Z</dcterms:modified>
</cp:coreProperties>
</file>